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ADA0" w14:textId="2CD876C5" w:rsidR="00907C6E" w:rsidRDefault="00907C6E" w:rsidP="00A75E74">
      <w:pPr>
        <w:pStyle w:val="Title"/>
        <w:jc w:val="center"/>
      </w:pPr>
      <w:r>
        <w:t xml:space="preserve">Analyzing </w:t>
      </w:r>
      <w:r w:rsidR="00A75E74">
        <w:t>Writing</w:t>
      </w:r>
      <w:r>
        <w:t xml:space="preserve"> Devices in </w:t>
      </w:r>
      <w:r w:rsidR="00A75E74">
        <w:t>Narrative Essays</w:t>
      </w:r>
    </w:p>
    <w:p w14:paraId="6780949C" w14:textId="77777777" w:rsidR="00907C6E" w:rsidRDefault="00907C6E" w:rsidP="00907C6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</w:t>
      </w:r>
      <w:r w:rsidRPr="00E76874">
        <w:rPr>
          <w:rStyle w:val="Heading1Char"/>
        </w:rPr>
        <w:t>TWO</w:t>
      </w:r>
      <w:r>
        <w:rPr>
          <w:rFonts w:ascii="Century Gothic" w:hAnsi="Century Gothic"/>
          <w:sz w:val="24"/>
          <w:szCs w:val="24"/>
        </w:rPr>
        <w:t xml:space="preserve"> of the narrative essays listed below </w:t>
      </w:r>
      <w:r w:rsidRPr="00F20DF8">
        <w:rPr>
          <w:rFonts w:ascii="Century Gothic" w:hAnsi="Century Gothic"/>
          <w:sz w:val="20"/>
          <w:szCs w:val="20"/>
        </w:rPr>
        <w:t>(you do NOT have to do the questions at the bottom of the essays</w:t>
      </w:r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4"/>
          <w:szCs w:val="24"/>
        </w:rPr>
        <w:t>:</w:t>
      </w:r>
    </w:p>
    <w:p w14:paraId="4AD21B6F" w14:textId="68851A42" w:rsidR="00907C6E" w:rsidRDefault="00716602" w:rsidP="00907C6E">
      <w:pPr>
        <w:pStyle w:val="ListParagraph"/>
        <w:numPr>
          <w:ilvl w:val="1"/>
          <w:numId w:val="1"/>
        </w:numPr>
        <w:rPr>
          <w:rFonts w:ascii="Century Gothic" w:hAnsi="Century Gothic"/>
          <w:i/>
          <w:iCs/>
        </w:rPr>
      </w:pPr>
      <w:hyperlink r:id="rId7" w:history="1">
        <w:r w:rsidR="00907C6E" w:rsidRPr="003C0087">
          <w:rPr>
            <w:rStyle w:val="Hyperlink"/>
            <w:rFonts w:ascii="Century Gothic" w:hAnsi="Century Gothic"/>
            <w:sz w:val="24"/>
            <w:szCs w:val="24"/>
          </w:rPr>
          <w:t>Libraries-Cathedrals-of our Souls</w:t>
        </w:r>
      </w:hyperlink>
      <w:r w:rsidR="00907C6E">
        <w:rPr>
          <w:rFonts w:ascii="Century Gothic" w:hAnsi="Century Gothic"/>
          <w:sz w:val="24"/>
          <w:szCs w:val="24"/>
        </w:rPr>
        <w:t xml:space="preserve"> </w:t>
      </w:r>
      <w:r w:rsidR="00907C6E" w:rsidRPr="005F040E">
        <w:rPr>
          <w:rFonts w:ascii="Century Gothic" w:hAnsi="Century Gothic"/>
          <w:i/>
          <w:iCs/>
        </w:rPr>
        <w:t xml:space="preserve">(Caitlin Moran’s essay begins as a reflection on her love of libraries but then it changes to more of an issue-based essay) </w:t>
      </w:r>
    </w:p>
    <w:p w14:paraId="37F12026" w14:textId="1070B30F" w:rsidR="00907C6E" w:rsidRDefault="00716602" w:rsidP="00907C6E">
      <w:pPr>
        <w:pStyle w:val="ListParagraph"/>
        <w:numPr>
          <w:ilvl w:val="1"/>
          <w:numId w:val="1"/>
        </w:numPr>
        <w:rPr>
          <w:rFonts w:ascii="Century Gothic" w:hAnsi="Century Gothic"/>
          <w:i/>
          <w:iCs/>
          <w:sz w:val="24"/>
          <w:szCs w:val="24"/>
        </w:rPr>
      </w:pPr>
      <w:hyperlink r:id="rId8" w:history="1">
        <w:r w:rsidR="00907C6E" w:rsidRPr="00907C6E">
          <w:rPr>
            <w:rStyle w:val="Hyperlink"/>
            <w:rFonts w:ascii="Century Gothic" w:hAnsi="Century Gothic"/>
            <w:i/>
            <w:iCs/>
            <w:sz w:val="24"/>
            <w:szCs w:val="24"/>
          </w:rPr>
          <w:t xml:space="preserve">Huddling Together </w:t>
        </w:r>
      </w:hyperlink>
      <w:r w:rsidR="00907C6E">
        <w:rPr>
          <w:rFonts w:ascii="Century Gothic" w:hAnsi="Century Gothic"/>
          <w:i/>
          <w:iCs/>
          <w:sz w:val="24"/>
          <w:szCs w:val="24"/>
        </w:rPr>
        <w:t xml:space="preserve">(Written by a student about his relationship with his stepfather. Great example of how to use dialogue to enhance theme) </w:t>
      </w:r>
    </w:p>
    <w:p w14:paraId="4E92035E" w14:textId="2B8FAD85" w:rsidR="00907C6E" w:rsidRPr="00907C6E" w:rsidRDefault="00716602" w:rsidP="00907C6E">
      <w:pPr>
        <w:pStyle w:val="ListParagraph"/>
        <w:numPr>
          <w:ilvl w:val="1"/>
          <w:numId w:val="1"/>
        </w:numPr>
        <w:rPr>
          <w:rFonts w:ascii="Century Gothic" w:hAnsi="Century Gothic"/>
          <w:i/>
          <w:iCs/>
          <w:sz w:val="24"/>
          <w:szCs w:val="24"/>
        </w:rPr>
      </w:pPr>
      <w:hyperlink r:id="rId9" w:history="1">
        <w:r w:rsidR="00907C6E">
          <w:rPr>
            <w:rStyle w:val="Hyperlink"/>
            <w:rFonts w:ascii="Century Gothic" w:hAnsi="Century Gothic"/>
            <w:i/>
            <w:iCs/>
            <w:sz w:val="24"/>
            <w:szCs w:val="24"/>
          </w:rPr>
          <w:t>A Poet's Boyhood at the Burning Crossroads</w:t>
        </w:r>
      </w:hyperlink>
      <w:r w:rsidR="00BD2B83">
        <w:rPr>
          <w:rStyle w:val="Hyperlink"/>
          <w:rFonts w:ascii="Century Gothic" w:hAnsi="Century Gothic"/>
          <w:i/>
          <w:iCs/>
          <w:sz w:val="24"/>
          <w:szCs w:val="24"/>
        </w:rPr>
        <w:t xml:space="preserve"> </w:t>
      </w:r>
      <w:r w:rsidR="00F11BE5">
        <w:rPr>
          <w:rStyle w:val="Hyperlink"/>
          <w:rFonts w:ascii="Century Gothic" w:hAnsi="Century Gothic"/>
          <w:i/>
          <w:iCs/>
          <w:sz w:val="24"/>
          <w:szCs w:val="24"/>
        </w:rPr>
        <w:t>check link</w:t>
      </w:r>
      <w:r w:rsidR="00907C6E">
        <w:rPr>
          <w:rFonts w:ascii="Century Gothic" w:hAnsi="Century Gothic"/>
          <w:i/>
          <w:iCs/>
          <w:sz w:val="24"/>
          <w:szCs w:val="24"/>
        </w:rPr>
        <w:t xml:space="preserve"> (taken from the New York Times, this a beautifully written narrative about being on the margins of society based on one’s identity) </w:t>
      </w:r>
    </w:p>
    <w:p w14:paraId="3E277A80" w14:textId="77777777" w:rsidR="00907C6E" w:rsidRDefault="00907C6E" w:rsidP="00907C6E">
      <w:pPr>
        <w:ind w:left="720" w:hanging="360"/>
        <w:rPr>
          <w:rFonts w:ascii="Century Gothic" w:hAnsi="Century Gothic"/>
          <w:sz w:val="24"/>
          <w:szCs w:val="24"/>
        </w:rPr>
      </w:pPr>
    </w:p>
    <w:p w14:paraId="0B9368F4" w14:textId="77777777" w:rsidR="00907C6E" w:rsidRPr="00920765" w:rsidRDefault="00907C6E" w:rsidP="00907C6E">
      <w:pPr>
        <w:pStyle w:val="ListParagraph"/>
        <w:numPr>
          <w:ilvl w:val="0"/>
          <w:numId w:val="1"/>
        </w:numPr>
        <w:rPr>
          <w:rFonts w:ascii="Century Gothic" w:hAnsi="Century Gothic"/>
          <w:i/>
          <w:iCs/>
        </w:rPr>
      </w:pPr>
      <w:r w:rsidRPr="006722FF">
        <w:rPr>
          <w:rFonts w:ascii="Century Gothic" w:hAnsi="Century Gothic"/>
          <w:sz w:val="24"/>
          <w:szCs w:val="24"/>
        </w:rPr>
        <w:t xml:space="preserve">Choose </w:t>
      </w:r>
      <w:r w:rsidRPr="00E76874">
        <w:rPr>
          <w:rStyle w:val="Heading1Char"/>
        </w:rPr>
        <w:t>ONE</w:t>
      </w:r>
      <w:r w:rsidRPr="006722FF">
        <w:rPr>
          <w:rFonts w:ascii="Century Gothic" w:hAnsi="Century Gothic"/>
          <w:sz w:val="24"/>
          <w:szCs w:val="24"/>
        </w:rPr>
        <w:t xml:space="preserve"> essay to examine closer for rhetorical devices. Copy quotes and portions of the essay to this document to portray examples of these devices </w:t>
      </w:r>
    </w:p>
    <w:p w14:paraId="312E140F" w14:textId="77777777" w:rsidR="00907C6E" w:rsidRPr="006722FF" w:rsidRDefault="00907C6E" w:rsidP="00EA36BC">
      <w:pPr>
        <w:pStyle w:val="ListParagraph"/>
        <w:ind w:left="1440"/>
        <w:rPr>
          <w:rFonts w:ascii="Century Gothic" w:hAnsi="Century Gothic"/>
          <w:i/>
          <w:iCs/>
        </w:rPr>
      </w:pPr>
      <w:proofErr w:type="spellStart"/>
      <w:r w:rsidRPr="006722FF">
        <w:rPr>
          <w:rFonts w:ascii="Century Gothic" w:hAnsi="Century Gothic"/>
          <w:i/>
          <w:iCs/>
        </w:rPr>
        <w:t>Eg.</w:t>
      </w:r>
      <w:proofErr w:type="spellEnd"/>
      <w:r w:rsidRPr="006722FF">
        <w:rPr>
          <w:rFonts w:ascii="Century Gothic" w:hAnsi="Century Gothic"/>
          <w:i/>
          <w:iCs/>
        </w:rPr>
        <w:t xml:space="preserve"> (Libraries) “Everything I </w:t>
      </w:r>
      <w:proofErr w:type="gramStart"/>
      <w:r w:rsidRPr="006722FF">
        <w:rPr>
          <w:rFonts w:ascii="Century Gothic" w:hAnsi="Century Gothic"/>
          <w:i/>
          <w:iCs/>
        </w:rPr>
        <w:t>am is</w:t>
      </w:r>
      <w:proofErr w:type="gramEnd"/>
      <w:r w:rsidRPr="006722FF">
        <w:rPr>
          <w:rFonts w:ascii="Century Gothic" w:hAnsi="Century Gothic"/>
          <w:i/>
          <w:iCs/>
        </w:rPr>
        <w:t xml:space="preserve"> based on this ugly building on its lonely, lawn-lit up during winter darkness” (descriptive detail, imagery, sound device- alliteration)</w:t>
      </w:r>
    </w:p>
    <w:p w14:paraId="6F25724D" w14:textId="77777777" w:rsidR="00907C6E" w:rsidRDefault="00907C6E" w:rsidP="00907C6E">
      <w:pPr>
        <w:pStyle w:val="ListParagraph"/>
        <w:rPr>
          <w:rFonts w:ascii="Century Gothic" w:hAnsi="Century Gothic"/>
          <w:sz w:val="24"/>
          <w:szCs w:val="24"/>
        </w:rPr>
      </w:pPr>
    </w:p>
    <w:p w14:paraId="0D58278D" w14:textId="0629B304" w:rsidR="00907C6E" w:rsidRPr="005D6F0F" w:rsidRDefault="00907C6E" w:rsidP="00907C6E">
      <w:pPr>
        <w:pStyle w:val="ListParagraph"/>
        <w:rPr>
          <w:rFonts w:ascii="Century Gothic" w:hAnsi="Century Gothic"/>
          <w:sz w:val="24"/>
          <w:szCs w:val="24"/>
        </w:rPr>
      </w:pPr>
      <w:r w:rsidRPr="005D6F0F">
        <w:rPr>
          <w:rFonts w:ascii="Century Gothic" w:hAnsi="Century Gothic"/>
          <w:sz w:val="24"/>
          <w:szCs w:val="24"/>
        </w:rPr>
        <w:t>I have listed the most common devices in the chart below. The list is not exhaustive so you may find more</w:t>
      </w:r>
      <w:r>
        <w:rPr>
          <w:rFonts w:ascii="Century Gothic" w:hAnsi="Century Gothic"/>
          <w:sz w:val="24"/>
          <w:szCs w:val="24"/>
        </w:rPr>
        <w:t xml:space="preserve">. YOU ARE NOT REQUIRED TO FIND MORE THAN ONE EXAMPLE OF EACH UNLESS NOTED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62"/>
        <w:gridCol w:w="2863"/>
      </w:tblGrid>
      <w:tr w:rsidR="00907C6E" w14:paraId="1D1997CB" w14:textId="77777777" w:rsidTr="00735192">
        <w:tc>
          <w:tcPr>
            <w:tcW w:w="3116" w:type="dxa"/>
          </w:tcPr>
          <w:p w14:paraId="09F207B8" w14:textId="1C4A2FF4" w:rsidR="00907C6E" w:rsidRPr="005D6F0F" w:rsidRDefault="00907C6E" w:rsidP="0073519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Huddling Together </w:t>
            </w:r>
            <w:r w:rsidRPr="005D6F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51ED9DD" w14:textId="7F93373A" w:rsidR="00907C6E" w:rsidRPr="005D6F0F" w:rsidRDefault="00907C6E" w:rsidP="0073519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 Poet’s Boyhood at the Burning Crossroads </w:t>
            </w:r>
          </w:p>
        </w:tc>
        <w:tc>
          <w:tcPr>
            <w:tcW w:w="3117" w:type="dxa"/>
          </w:tcPr>
          <w:p w14:paraId="2B98B9B8" w14:textId="77777777" w:rsidR="00907C6E" w:rsidRPr="005D6F0F" w:rsidRDefault="00907C6E" w:rsidP="0073519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F0F">
              <w:rPr>
                <w:rFonts w:ascii="Century Gothic" w:hAnsi="Century Gothic"/>
                <w:b/>
                <w:bCs/>
                <w:sz w:val="24"/>
                <w:szCs w:val="24"/>
              </w:rPr>
              <w:t>Caitlin Moran’s “Libraries: Cathedrals of our Souls”</w:t>
            </w:r>
          </w:p>
        </w:tc>
      </w:tr>
      <w:tr w:rsidR="00907C6E" w14:paraId="682166A2" w14:textId="77777777" w:rsidTr="00735192">
        <w:tc>
          <w:tcPr>
            <w:tcW w:w="3116" w:type="dxa"/>
          </w:tcPr>
          <w:p w14:paraId="6F5515B2" w14:textId="77777777" w:rsidR="00014E18" w:rsidRPr="00E76874" w:rsidRDefault="00014E18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Anecdote</w:t>
            </w:r>
          </w:p>
          <w:p w14:paraId="0BD1AAE6" w14:textId="77777777" w:rsidR="00F145C3" w:rsidRPr="00E76874" w:rsidRDefault="008000CD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Contrast </w:t>
            </w:r>
          </w:p>
          <w:p w14:paraId="79E11950" w14:textId="7A6B921F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Rule of 3’s </w:t>
            </w:r>
            <w:r w:rsidRPr="00E76874">
              <w:rPr>
                <w:rFonts w:ascii="Century Gothic" w:hAnsi="Century Gothic"/>
                <w:i/>
                <w:iCs/>
              </w:rPr>
              <w:t xml:space="preserve">(2 examples) </w:t>
            </w:r>
          </w:p>
          <w:p w14:paraId="4B9518B5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Rhetorical question</w:t>
            </w:r>
          </w:p>
          <w:p w14:paraId="31E1C154" w14:textId="449C39DE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Poetic devices 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r w:rsidR="004B01A3"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2 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examples</w:t>
            </w:r>
            <w:r w:rsidR="00FD4383"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such as similes, hyperboles, </w:t>
            </w:r>
            <w:r w:rsidR="00DA08F5"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metaphors, or symbols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</w:p>
          <w:p w14:paraId="3CC28ABC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Repetition</w:t>
            </w:r>
          </w:p>
          <w:p w14:paraId="0E511243" w14:textId="5470CF94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lastRenderedPageBreak/>
              <w:t xml:space="preserve">Sound patterns 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(devices</w:t>
            </w:r>
            <w:r w:rsidR="00DA08F5"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such as alliteration or onomatopoeia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Pr="00E76874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56FB1F48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Parallel structures </w:t>
            </w:r>
          </w:p>
          <w:p w14:paraId="4E1D80CD" w14:textId="33D5CBC1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Emotive language</w:t>
            </w:r>
          </w:p>
          <w:p w14:paraId="2BF678BE" w14:textId="2F87B089" w:rsidR="002042F7" w:rsidRPr="00E76874" w:rsidRDefault="002042F7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Imagery</w:t>
            </w:r>
            <w:r w:rsidR="0011054A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for descriptive language</w:t>
            </w:r>
          </w:p>
          <w:p w14:paraId="0EE071A0" w14:textId="44365AB9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73BDAC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lastRenderedPageBreak/>
              <w:t xml:space="preserve">Rule of 3’s </w:t>
            </w:r>
            <w:r w:rsidRPr="00E76874">
              <w:rPr>
                <w:rFonts w:ascii="Century Gothic" w:hAnsi="Century Gothic"/>
                <w:i/>
                <w:iCs/>
              </w:rPr>
              <w:t xml:space="preserve">(2 examples) </w:t>
            </w:r>
          </w:p>
          <w:p w14:paraId="1A405251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Rhetorical question</w:t>
            </w:r>
          </w:p>
          <w:p w14:paraId="30A2B74E" w14:textId="4B2A81AD" w:rsidR="00907C6E" w:rsidRPr="00E76874" w:rsidRDefault="00907C6E" w:rsidP="00735192">
            <w:pPr>
              <w:rPr>
                <w:rFonts w:ascii="Century Gothic" w:hAnsi="Century Gothic"/>
                <w:i/>
                <w:iCs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Poetic devices </w:t>
            </w:r>
            <w:r w:rsidRPr="00E76874">
              <w:rPr>
                <w:rFonts w:ascii="Century Gothic" w:hAnsi="Century Gothic"/>
                <w:i/>
                <w:iCs/>
              </w:rPr>
              <w:t>(3 examples</w:t>
            </w:r>
            <w:r w:rsidR="009C24E3" w:rsidRPr="00E76874">
              <w:rPr>
                <w:rFonts w:ascii="Century Gothic" w:hAnsi="Century Gothic"/>
                <w:i/>
                <w:iCs/>
              </w:rPr>
              <w:t>- there are tons!</w:t>
            </w:r>
            <w:r w:rsidRPr="00E76874">
              <w:rPr>
                <w:rFonts w:ascii="Century Gothic" w:hAnsi="Century Gothic"/>
                <w:i/>
                <w:iCs/>
              </w:rPr>
              <w:t xml:space="preserve">) </w:t>
            </w:r>
          </w:p>
          <w:p w14:paraId="6D5F08EB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Repetition</w:t>
            </w:r>
          </w:p>
          <w:p w14:paraId="71E61A8D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Sentence fluency </w:t>
            </w:r>
            <w:r w:rsidRPr="00E76874">
              <w:rPr>
                <w:rFonts w:ascii="Century Gothic" w:hAnsi="Century Gothic"/>
                <w:i/>
                <w:iCs/>
              </w:rPr>
              <w:t>(one long, one short combo)</w:t>
            </w:r>
          </w:p>
          <w:p w14:paraId="239584BE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lastRenderedPageBreak/>
              <w:t xml:space="preserve">Parallel structures </w:t>
            </w:r>
          </w:p>
          <w:p w14:paraId="740C2B14" w14:textId="4EC6A51B" w:rsidR="0011054A" w:rsidRPr="00E76874" w:rsidRDefault="0011054A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Imagery for descriptive language</w:t>
            </w:r>
            <w:r w:rsidR="00506C3F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(2x) </w:t>
            </w:r>
          </w:p>
          <w:p w14:paraId="658993C1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Contrast </w:t>
            </w:r>
          </w:p>
          <w:p w14:paraId="69F646E0" w14:textId="6CCED0A5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Allusion</w:t>
            </w:r>
            <w:r w:rsidR="00191B16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s</w:t>
            </w: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(</w:t>
            </w:r>
            <w:r w:rsidR="003A57FC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3</w:t>
            </w: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x)</w:t>
            </w:r>
          </w:p>
          <w:p w14:paraId="2809F191" w14:textId="55273709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Symbols</w:t>
            </w:r>
          </w:p>
          <w:p w14:paraId="5C774017" w14:textId="54CEE4C9" w:rsidR="003A57FC" w:rsidRPr="00E76874" w:rsidRDefault="003A57FC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Extended metaphor </w:t>
            </w:r>
          </w:p>
          <w:p w14:paraId="2D5B2286" w14:textId="77777777" w:rsidR="00907C6E" w:rsidRPr="00E76874" w:rsidRDefault="00907C6E" w:rsidP="0011054A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484393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lastRenderedPageBreak/>
              <w:t xml:space="preserve">Rule of 3’s 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(2 examples)</w:t>
            </w:r>
            <w:r w:rsidRPr="00E76874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1B553087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Rhetorical question</w:t>
            </w:r>
          </w:p>
          <w:p w14:paraId="2E336184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Poetic devices </w:t>
            </w:r>
            <w:r w:rsidRPr="00E76874">
              <w:rPr>
                <w:rFonts w:ascii="Century Gothic" w:hAnsi="Century Gothic"/>
                <w:i/>
                <w:iCs/>
              </w:rPr>
              <w:t xml:space="preserve">(3 examples) </w:t>
            </w:r>
          </w:p>
          <w:p w14:paraId="622D7FED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Repetition</w:t>
            </w:r>
          </w:p>
          <w:p w14:paraId="06918450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Sound patterns </w:t>
            </w:r>
            <w:r w:rsidRPr="00E76874">
              <w:rPr>
                <w:rFonts w:ascii="Century Gothic" w:hAnsi="Century Gothic"/>
                <w:i/>
                <w:iCs/>
              </w:rPr>
              <w:t xml:space="preserve">(devices) </w:t>
            </w:r>
          </w:p>
          <w:p w14:paraId="178DA30B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lastRenderedPageBreak/>
              <w:t xml:space="preserve">Sentence fluency </w:t>
            </w:r>
            <w:r w:rsidRPr="00E76874">
              <w:rPr>
                <w:rFonts w:ascii="Century Gothic" w:hAnsi="Century Gothic"/>
                <w:i/>
                <w:iCs/>
                <w:sz w:val="20"/>
                <w:szCs w:val="20"/>
              </w:rPr>
              <w:t>(one long, one short combo)</w:t>
            </w:r>
          </w:p>
          <w:p w14:paraId="2FB49664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Parallel structures </w:t>
            </w:r>
          </w:p>
          <w:p w14:paraId="3DFA596A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Descriptive language</w:t>
            </w:r>
          </w:p>
          <w:p w14:paraId="4844FE3D" w14:textId="77777777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Allusions </w:t>
            </w:r>
            <w:r w:rsidRPr="00E76874">
              <w:rPr>
                <w:rFonts w:ascii="Century Gothic" w:hAnsi="Century Gothic"/>
                <w:i/>
                <w:iCs/>
              </w:rPr>
              <w:t>(find two)</w:t>
            </w:r>
          </w:p>
          <w:p w14:paraId="19DA55FC" w14:textId="74091E6A" w:rsidR="00907C6E" w:rsidRPr="00E76874" w:rsidRDefault="00907C6E" w:rsidP="00735192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Tone changes from </w:t>
            </w:r>
            <w:r w:rsidR="00BF3A34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____</w:t>
            </w: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to </w:t>
            </w:r>
            <w:r w:rsidR="00BF3A34"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>_____</w:t>
            </w:r>
            <w:r w:rsidRPr="00E76874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? </w:t>
            </w:r>
          </w:p>
        </w:tc>
      </w:tr>
    </w:tbl>
    <w:p w14:paraId="646B36A2" w14:textId="77777777" w:rsidR="00907C6E" w:rsidRDefault="00907C6E" w:rsidP="00907C6E">
      <w:pPr>
        <w:ind w:left="720" w:hanging="360"/>
        <w:rPr>
          <w:rFonts w:ascii="Century Gothic" w:hAnsi="Century Gothic"/>
          <w:sz w:val="24"/>
          <w:szCs w:val="24"/>
        </w:rPr>
      </w:pPr>
    </w:p>
    <w:p w14:paraId="754F6646" w14:textId="14EF9D0E" w:rsidR="00907C6E" w:rsidRPr="008944FA" w:rsidRDefault="00907C6E" w:rsidP="00907C6E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t>Put the quotes and devices here</w:t>
      </w:r>
      <w:r w:rsidR="00C814AF">
        <w:t xml:space="preserve"> </w:t>
      </w:r>
      <w:r w:rsidR="00C814AF" w:rsidRPr="008944FA">
        <w:rPr>
          <w:sz w:val="24"/>
          <w:szCs w:val="24"/>
        </w:rPr>
        <w:t>(</w:t>
      </w:r>
      <w:r w:rsidR="008944FA" w:rsidRPr="008944FA">
        <w:rPr>
          <w:sz w:val="24"/>
          <w:szCs w:val="24"/>
        </w:rPr>
        <w:t>5 marks based on accuracy of the whole)</w:t>
      </w:r>
      <w:r w:rsidRPr="008944FA">
        <w:rPr>
          <w:sz w:val="24"/>
          <w:szCs w:val="24"/>
        </w:rPr>
        <w:t xml:space="preserve">: </w:t>
      </w:r>
    </w:p>
    <w:p w14:paraId="10B80539" w14:textId="35B7EAA5" w:rsidR="001D526A" w:rsidRPr="00EE3922" w:rsidRDefault="001D526A" w:rsidP="001D526A">
      <w:pPr>
        <w:pStyle w:val="ListParagraph"/>
        <w:ind w:left="1440"/>
        <w:rPr>
          <w:rFonts w:ascii="Century Gothic" w:hAnsi="Century Gothic"/>
          <w:i/>
          <w:iCs/>
        </w:rPr>
      </w:pPr>
      <w:r w:rsidRPr="001D526A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D526A">
        <w:rPr>
          <w:rFonts w:ascii="Century Gothic" w:hAnsi="Century Gothic"/>
          <w:i/>
          <w:iCs/>
          <w:sz w:val="24"/>
          <w:szCs w:val="24"/>
        </w:rPr>
        <w:t>Eg.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690356">
        <w:rPr>
          <w:rFonts w:ascii="Century Gothic" w:hAnsi="Century Gothic"/>
          <w:i/>
          <w:iCs/>
          <w:sz w:val="20"/>
          <w:szCs w:val="20"/>
        </w:rPr>
        <w:t>(</w:t>
      </w:r>
      <w:r w:rsidR="00E702DF" w:rsidRPr="00690356">
        <w:rPr>
          <w:rFonts w:ascii="Century Gothic" w:hAnsi="Century Gothic"/>
          <w:i/>
          <w:iCs/>
          <w:sz w:val="20"/>
          <w:szCs w:val="20"/>
        </w:rPr>
        <w:t xml:space="preserve">from “Opposite of </w:t>
      </w:r>
      <w:r w:rsidRPr="00690356">
        <w:rPr>
          <w:rFonts w:ascii="Century Gothic" w:hAnsi="Century Gothic"/>
          <w:i/>
          <w:iCs/>
          <w:sz w:val="20"/>
          <w:szCs w:val="20"/>
        </w:rPr>
        <w:t>Lonelines</w:t>
      </w:r>
      <w:r w:rsidR="00E702DF" w:rsidRPr="00690356">
        <w:rPr>
          <w:rFonts w:ascii="Century Gothic" w:hAnsi="Century Gothic"/>
          <w:i/>
          <w:iCs/>
          <w:sz w:val="20"/>
          <w:szCs w:val="20"/>
        </w:rPr>
        <w:t>s”</w:t>
      </w:r>
      <w:r w:rsidRPr="00690356">
        <w:rPr>
          <w:rFonts w:ascii="Century Gothic" w:hAnsi="Century Gothic"/>
          <w:i/>
          <w:iCs/>
          <w:sz w:val="20"/>
          <w:szCs w:val="20"/>
        </w:rPr>
        <w:t xml:space="preserve">) </w:t>
      </w:r>
      <w:r w:rsidRPr="00690356">
        <w:rPr>
          <w:rFonts w:ascii="Century Gothic" w:hAnsi="Century Gothic"/>
          <w:i/>
          <w:iCs/>
          <w:sz w:val="24"/>
          <w:szCs w:val="24"/>
        </w:rPr>
        <w:t xml:space="preserve">“Our private insecurities follow us and will always follow us” (repetition and parallel structure) </w:t>
      </w:r>
    </w:p>
    <w:p w14:paraId="08F55B3A" w14:textId="7EAD07FC" w:rsidR="00907C6E" w:rsidRDefault="00907C6E" w:rsidP="00907C6E">
      <w:pPr>
        <w:rPr>
          <w:rFonts w:ascii="Century Gothic" w:hAnsi="Century Gothic"/>
          <w:sz w:val="24"/>
          <w:szCs w:val="24"/>
        </w:rPr>
      </w:pPr>
    </w:p>
    <w:p w14:paraId="0F86FBEA" w14:textId="77777777" w:rsidR="00907C6E" w:rsidRPr="00907C6E" w:rsidRDefault="00907C6E" w:rsidP="00907C6E">
      <w:pPr>
        <w:rPr>
          <w:rFonts w:ascii="Century Gothic" w:hAnsi="Century Gothic"/>
          <w:sz w:val="24"/>
          <w:szCs w:val="24"/>
        </w:rPr>
      </w:pPr>
    </w:p>
    <w:p w14:paraId="001BC045" w14:textId="03326E2F" w:rsidR="00907C6E" w:rsidRDefault="00907C6E" w:rsidP="00907C6E">
      <w:pPr>
        <w:pStyle w:val="Heading1"/>
        <w:numPr>
          <w:ilvl w:val="0"/>
          <w:numId w:val="1"/>
        </w:numPr>
      </w:pPr>
      <w:r>
        <w:t>Answer the following questions for the essay you chose:</w:t>
      </w:r>
      <w:r w:rsidR="00700FE9">
        <w:t xml:space="preserve"> </w:t>
      </w:r>
    </w:p>
    <w:p w14:paraId="43ABBB42" w14:textId="67D1DE41" w:rsidR="00907C6E" w:rsidRDefault="00907C6E" w:rsidP="00907C6E">
      <w:pPr>
        <w:pStyle w:val="Default"/>
        <w:numPr>
          <w:ilvl w:val="1"/>
          <w:numId w:val="1"/>
        </w:numPr>
        <w:rPr>
          <w:rFonts w:ascii="Century Gothic" w:hAnsi="Century Gothic"/>
        </w:rPr>
      </w:pPr>
      <w:r w:rsidRPr="002977F6">
        <w:rPr>
          <w:rFonts w:ascii="Century Gothic" w:hAnsi="Century Gothic"/>
        </w:rPr>
        <w:t xml:space="preserve">In addition to telling a story, a narrative essay also communicates an </w:t>
      </w:r>
      <w:r w:rsidRPr="002977F6">
        <w:rPr>
          <w:rFonts w:ascii="Century Gothic" w:hAnsi="Century Gothic"/>
          <w:u w:val="single"/>
        </w:rPr>
        <w:t>insight into life</w:t>
      </w:r>
      <w:r w:rsidRPr="002977F6">
        <w:rPr>
          <w:rFonts w:ascii="Century Gothic" w:hAnsi="Century Gothic"/>
        </w:rPr>
        <w:t xml:space="preserve">, a lesson learned or a connection between experience and the larger world. What insight or message does this essay portray? </w:t>
      </w:r>
      <w:r w:rsidR="00700FE9" w:rsidRPr="00700FE9">
        <w:rPr>
          <w:rStyle w:val="Heading2Char"/>
        </w:rPr>
        <w:t>(2 marks)</w:t>
      </w:r>
      <w:r w:rsidR="00700FE9">
        <w:rPr>
          <w:rFonts w:ascii="Century Gothic" w:hAnsi="Century Gothic"/>
        </w:rPr>
        <w:t xml:space="preserve"> </w:t>
      </w:r>
    </w:p>
    <w:p w14:paraId="2E3BA28E" w14:textId="77777777" w:rsidR="00907C6E" w:rsidRDefault="00907C6E" w:rsidP="00907C6E">
      <w:pPr>
        <w:pStyle w:val="Default"/>
        <w:rPr>
          <w:rFonts w:ascii="Century Gothic" w:hAnsi="Century Gothic"/>
        </w:rPr>
      </w:pPr>
    </w:p>
    <w:p w14:paraId="40D7DFB4" w14:textId="77777777" w:rsidR="00907C6E" w:rsidRDefault="00907C6E" w:rsidP="00907C6E">
      <w:pPr>
        <w:pStyle w:val="Default"/>
        <w:rPr>
          <w:rFonts w:ascii="Century Gothic" w:hAnsi="Century Gothic"/>
        </w:rPr>
      </w:pPr>
    </w:p>
    <w:p w14:paraId="34ADC61F" w14:textId="77777777" w:rsidR="00907C6E" w:rsidRDefault="00907C6E" w:rsidP="00907C6E">
      <w:pPr>
        <w:pStyle w:val="Default"/>
        <w:rPr>
          <w:rFonts w:ascii="Century Gothic" w:hAnsi="Century Gothic"/>
        </w:rPr>
      </w:pPr>
    </w:p>
    <w:p w14:paraId="099662EA" w14:textId="77777777" w:rsidR="00907C6E" w:rsidRDefault="00907C6E" w:rsidP="00907C6E">
      <w:pPr>
        <w:pStyle w:val="Default"/>
        <w:rPr>
          <w:rFonts w:ascii="Century Gothic" w:hAnsi="Century Gothic"/>
        </w:rPr>
      </w:pPr>
    </w:p>
    <w:p w14:paraId="695D61B4" w14:textId="77777777" w:rsidR="00907C6E" w:rsidRDefault="00907C6E" w:rsidP="00907C6E">
      <w:pPr>
        <w:pStyle w:val="Default"/>
        <w:rPr>
          <w:rFonts w:ascii="Century Gothic" w:hAnsi="Century Gothic"/>
        </w:rPr>
      </w:pPr>
    </w:p>
    <w:p w14:paraId="3E7A2728" w14:textId="77777777" w:rsidR="00907C6E" w:rsidRPr="002977F6" w:rsidRDefault="00907C6E" w:rsidP="00907C6E">
      <w:pPr>
        <w:pStyle w:val="Default"/>
        <w:rPr>
          <w:rFonts w:ascii="Century Gothic" w:hAnsi="Century Gothic"/>
        </w:rPr>
      </w:pPr>
    </w:p>
    <w:p w14:paraId="6F3D1187" w14:textId="5EED68E4" w:rsidR="00907C6E" w:rsidRDefault="00907C6E" w:rsidP="00907C6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conflict in the essay? Explain. </w:t>
      </w:r>
      <w:r w:rsidR="00700FE9" w:rsidRPr="00700FE9">
        <w:rPr>
          <w:rStyle w:val="Heading2Char"/>
        </w:rPr>
        <w:t>(2 marks)</w:t>
      </w:r>
    </w:p>
    <w:p w14:paraId="14D66CBE" w14:textId="77777777" w:rsidR="00907C6E" w:rsidRDefault="00907C6E" w:rsidP="00907C6E">
      <w:pPr>
        <w:rPr>
          <w:rFonts w:ascii="Century Gothic" w:hAnsi="Century Gothic"/>
          <w:sz w:val="24"/>
          <w:szCs w:val="24"/>
        </w:rPr>
      </w:pPr>
    </w:p>
    <w:p w14:paraId="011682E1" w14:textId="77777777" w:rsidR="00907C6E" w:rsidRDefault="00907C6E" w:rsidP="00907C6E">
      <w:pPr>
        <w:rPr>
          <w:rFonts w:ascii="Century Gothic" w:hAnsi="Century Gothic"/>
          <w:sz w:val="24"/>
          <w:szCs w:val="24"/>
        </w:rPr>
      </w:pPr>
    </w:p>
    <w:p w14:paraId="57A79AA6" w14:textId="12E31B73" w:rsidR="00907C6E" w:rsidRDefault="00907C6E" w:rsidP="00907C6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essays “show, don’t tell”. Find a passage from the essay that shows the story, not tells it. Tell me what it “shows”. </w:t>
      </w:r>
      <w:r w:rsidR="00700FE9" w:rsidRPr="00700FE9">
        <w:rPr>
          <w:rStyle w:val="Heading2Char"/>
        </w:rPr>
        <w:t>(2 marks</w:t>
      </w:r>
      <w:r w:rsidR="00700FE9">
        <w:rPr>
          <w:rStyle w:val="Heading2Char"/>
        </w:rPr>
        <w:t>)</w:t>
      </w:r>
      <w:r w:rsidR="000A0285">
        <w:rPr>
          <w:rStyle w:val="Heading2Char"/>
        </w:rPr>
        <w:t xml:space="preserve"> (I will go over this on Thursday/Friday) </w:t>
      </w:r>
    </w:p>
    <w:p w14:paraId="53E4B2E3" w14:textId="77777777" w:rsidR="00907C6E" w:rsidRDefault="00907C6E" w:rsidP="00907C6E">
      <w:pPr>
        <w:rPr>
          <w:rFonts w:ascii="Century Gothic" w:hAnsi="Century Gothic"/>
          <w:sz w:val="24"/>
          <w:szCs w:val="24"/>
        </w:rPr>
      </w:pPr>
    </w:p>
    <w:p w14:paraId="74F0C522" w14:textId="36E4765A" w:rsidR="00907C6E" w:rsidRDefault="00907C6E">
      <w:r w:rsidRPr="00D71AA2">
        <w:rPr>
          <w:rFonts w:ascii="Century Gothic" w:hAnsi="Century Gothic"/>
          <w:b/>
          <w:bCs/>
          <w:sz w:val="24"/>
          <w:szCs w:val="24"/>
        </w:rPr>
        <w:t xml:space="preserve">Hand in to TEAMS by </w:t>
      </w:r>
      <w:r w:rsidR="006B68DF">
        <w:rPr>
          <w:rFonts w:ascii="Century Gothic" w:hAnsi="Century Gothic"/>
          <w:b/>
          <w:bCs/>
          <w:sz w:val="24"/>
          <w:szCs w:val="24"/>
        </w:rPr>
        <w:t xml:space="preserve">June </w:t>
      </w:r>
      <w:r w:rsidR="006A6368">
        <w:rPr>
          <w:rFonts w:ascii="Century Gothic" w:hAnsi="Century Gothic"/>
          <w:b/>
          <w:bCs/>
          <w:sz w:val="24"/>
          <w:szCs w:val="24"/>
        </w:rPr>
        <w:t>11</w:t>
      </w:r>
      <w:r w:rsidR="006A6368" w:rsidRPr="006A6368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6A6368">
        <w:rPr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907C6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28F" w14:textId="77777777" w:rsidR="00716602" w:rsidRDefault="00716602" w:rsidP="00907C6E">
      <w:pPr>
        <w:spacing w:after="0" w:line="240" w:lineRule="auto"/>
      </w:pPr>
      <w:r>
        <w:separator/>
      </w:r>
    </w:p>
  </w:endnote>
  <w:endnote w:type="continuationSeparator" w:id="0">
    <w:p w14:paraId="1609EDF1" w14:textId="77777777" w:rsidR="00716602" w:rsidRDefault="00716602" w:rsidP="0090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C790" w14:textId="77777777" w:rsidR="00716602" w:rsidRDefault="00716602" w:rsidP="00907C6E">
      <w:pPr>
        <w:spacing w:after="0" w:line="240" w:lineRule="auto"/>
      </w:pPr>
      <w:r>
        <w:separator/>
      </w:r>
    </w:p>
  </w:footnote>
  <w:footnote w:type="continuationSeparator" w:id="0">
    <w:p w14:paraId="5DDB0847" w14:textId="77777777" w:rsidR="00716602" w:rsidRDefault="00716602" w:rsidP="0090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D4B" w14:textId="77777777" w:rsidR="008D26EF" w:rsidRDefault="00836497">
    <w:pPr>
      <w:pStyle w:val="Header"/>
      <w:rPr>
        <w:lang w:val="en-US"/>
      </w:rPr>
    </w:pPr>
    <w:r>
      <w:rPr>
        <w:lang w:val="en-US"/>
      </w:rPr>
      <w:t>English 12</w:t>
    </w:r>
  </w:p>
  <w:p w14:paraId="4F89FBD8" w14:textId="77777777" w:rsidR="008D26EF" w:rsidRDefault="00836497">
    <w:pPr>
      <w:pStyle w:val="Header"/>
      <w:rPr>
        <w:lang w:val="en-US"/>
      </w:rPr>
    </w:pPr>
    <w:r>
      <w:rPr>
        <w:lang w:val="en-US"/>
      </w:rPr>
      <w:t xml:space="preserve">Online Learning -Writing Analysis and Narrative Essay Unit </w:t>
    </w:r>
  </w:p>
  <w:p w14:paraId="7B8F6236" w14:textId="14C74603" w:rsidR="008D26EF" w:rsidRPr="008D26EF" w:rsidRDefault="0071660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41B"/>
    <w:multiLevelType w:val="hybridMultilevel"/>
    <w:tmpl w:val="A936E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E"/>
    <w:rsid w:val="00014E18"/>
    <w:rsid w:val="000A0285"/>
    <w:rsid w:val="000C0ECD"/>
    <w:rsid w:val="0011054A"/>
    <w:rsid w:val="00126F5F"/>
    <w:rsid w:val="00191B16"/>
    <w:rsid w:val="001D526A"/>
    <w:rsid w:val="002042F7"/>
    <w:rsid w:val="003A57FC"/>
    <w:rsid w:val="003C0087"/>
    <w:rsid w:val="004B01A3"/>
    <w:rsid w:val="00506C3F"/>
    <w:rsid w:val="00690356"/>
    <w:rsid w:val="00693F7D"/>
    <w:rsid w:val="006A6368"/>
    <w:rsid w:val="006B68DF"/>
    <w:rsid w:val="00700FE9"/>
    <w:rsid w:val="00716602"/>
    <w:rsid w:val="0076155E"/>
    <w:rsid w:val="008000CD"/>
    <w:rsid w:val="00816322"/>
    <w:rsid w:val="00836497"/>
    <w:rsid w:val="008944FA"/>
    <w:rsid w:val="00906D08"/>
    <w:rsid w:val="00907C6E"/>
    <w:rsid w:val="009C24E3"/>
    <w:rsid w:val="00A75E74"/>
    <w:rsid w:val="00B42E4E"/>
    <w:rsid w:val="00BD2B83"/>
    <w:rsid w:val="00BF3A34"/>
    <w:rsid w:val="00C74191"/>
    <w:rsid w:val="00C814AF"/>
    <w:rsid w:val="00CE490D"/>
    <w:rsid w:val="00DA08F5"/>
    <w:rsid w:val="00E702DF"/>
    <w:rsid w:val="00E76874"/>
    <w:rsid w:val="00EA36BC"/>
    <w:rsid w:val="00F11BE5"/>
    <w:rsid w:val="00F145C3"/>
    <w:rsid w:val="00FC0C9B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402A"/>
  <w15:chartTrackingRefBased/>
  <w15:docId w15:val="{AE658132-3790-41B1-B0FE-B3538A0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6E"/>
  </w:style>
  <w:style w:type="paragraph" w:styleId="Heading1">
    <w:name w:val="heading 1"/>
    <w:basedOn w:val="Normal"/>
    <w:next w:val="Normal"/>
    <w:link w:val="Heading1Char"/>
    <w:uiPriority w:val="9"/>
    <w:qFormat/>
    <w:rsid w:val="00907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6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0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6E"/>
  </w:style>
  <w:style w:type="paragraph" w:customStyle="1" w:styleId="Default">
    <w:name w:val="Default"/>
    <w:rsid w:val="00907C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7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07C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6E"/>
  </w:style>
  <w:style w:type="character" w:customStyle="1" w:styleId="Heading2Char">
    <w:name w:val="Heading 2 Char"/>
    <w:basedOn w:val="DefaultParagraphFont"/>
    <w:link w:val="Heading2"/>
    <w:uiPriority w:val="9"/>
    <w:rsid w:val="00700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studentmodels/huddling-toget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libraries-cathedrals-of-o_b_21033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50120081844/https:/opinionator.blogs.nytimes.com/2015/01/19/a-poets-boyhood-at-the-burning-crossr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20</cp:revision>
  <cp:lastPrinted>2021-06-04T19:30:00Z</cp:lastPrinted>
  <dcterms:created xsi:type="dcterms:W3CDTF">2020-12-07T17:30:00Z</dcterms:created>
  <dcterms:modified xsi:type="dcterms:W3CDTF">2021-06-07T02:17:00Z</dcterms:modified>
</cp:coreProperties>
</file>