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BF9" w:rsidRPr="008F20AC" w:rsidRDefault="00820BF9" w:rsidP="00820BF9">
      <w:pPr>
        <w:spacing w:line="360" w:lineRule="auto"/>
        <w:rPr>
          <w:rFonts w:ascii="Arial" w:hAnsi="Arial" w:cs="Arial"/>
          <w:b/>
          <w:sz w:val="28"/>
          <w:szCs w:val="28"/>
        </w:rPr>
      </w:pPr>
      <w:r w:rsidRPr="008F20AC">
        <w:rPr>
          <w:rFonts w:ascii="Arial" w:hAnsi="Arial" w:cs="Arial"/>
          <w:b/>
          <w:sz w:val="28"/>
          <w:szCs w:val="28"/>
        </w:rPr>
        <w:t>The</w:t>
      </w:r>
      <w:r>
        <w:rPr>
          <w:rFonts w:ascii="Arial" w:hAnsi="Arial" w:cs="Arial"/>
          <w:b/>
          <w:sz w:val="28"/>
          <w:szCs w:val="28"/>
        </w:rPr>
        <w:t>sis</w:t>
      </w:r>
      <w:r w:rsidRPr="008F20AC">
        <w:rPr>
          <w:rFonts w:ascii="Arial" w:hAnsi="Arial" w:cs="Arial"/>
          <w:b/>
          <w:sz w:val="28"/>
          <w:szCs w:val="28"/>
        </w:rPr>
        <w:t xml:space="preserve"> statements:</w:t>
      </w:r>
    </w:p>
    <w:p w:rsidR="00820BF9" w:rsidRPr="008F20AC" w:rsidRDefault="00820BF9" w:rsidP="00820BF9">
      <w:pPr>
        <w:spacing w:line="360" w:lineRule="auto"/>
        <w:rPr>
          <w:rFonts w:ascii="Arial" w:hAnsi="Arial" w:cs="Arial"/>
          <w:sz w:val="24"/>
          <w:szCs w:val="24"/>
        </w:rPr>
      </w:pPr>
      <w:r w:rsidRPr="008F20AC">
        <w:rPr>
          <w:rFonts w:ascii="Arial" w:hAnsi="Arial" w:cs="Arial"/>
          <w:sz w:val="24"/>
          <w:szCs w:val="24"/>
        </w:rPr>
        <w:t>The</w:t>
      </w:r>
      <w:r>
        <w:rPr>
          <w:rFonts w:ascii="Arial" w:hAnsi="Arial" w:cs="Arial"/>
          <w:sz w:val="24"/>
          <w:szCs w:val="24"/>
        </w:rPr>
        <w:t>sis</w:t>
      </w:r>
      <w:r w:rsidRPr="008F20AC">
        <w:rPr>
          <w:rFonts w:ascii="Arial" w:hAnsi="Arial" w:cs="Arial"/>
          <w:sz w:val="24"/>
          <w:szCs w:val="24"/>
        </w:rPr>
        <w:t xml:space="preserve"> statements must </w:t>
      </w:r>
      <w:r w:rsidRPr="00256393">
        <w:rPr>
          <w:rFonts w:ascii="Arial" w:hAnsi="Arial" w:cs="Arial"/>
          <w:b/>
          <w:sz w:val="24"/>
          <w:szCs w:val="24"/>
        </w:rPr>
        <w:t>show the differences and the similarities</w:t>
      </w:r>
      <w:r w:rsidRPr="008F20AC">
        <w:rPr>
          <w:rFonts w:ascii="Arial" w:hAnsi="Arial" w:cs="Arial"/>
          <w:sz w:val="24"/>
          <w:szCs w:val="24"/>
        </w:rPr>
        <w:t>. Use words such as the following:</w:t>
      </w:r>
    </w:p>
    <w:p w:rsidR="00820BF9" w:rsidRDefault="00820BF9" w:rsidP="00820BF9">
      <w:pPr>
        <w:spacing w:line="360" w:lineRule="auto"/>
        <w:rPr>
          <w:rFonts w:ascii="Arial" w:hAnsi="Arial" w:cs="Arial"/>
          <w:sz w:val="24"/>
          <w:szCs w:val="24"/>
        </w:rPr>
        <w:sectPr w:rsidR="00820BF9">
          <w:headerReference w:type="default" r:id="rId7"/>
          <w:pgSz w:w="12240" w:h="15840"/>
          <w:pgMar w:top="1440" w:right="1440" w:bottom="1440" w:left="1440" w:header="708" w:footer="708" w:gutter="0"/>
          <w:cols w:space="708"/>
          <w:docGrid w:linePitch="360"/>
        </w:sectPr>
      </w:pPr>
    </w:p>
    <w:p w:rsidR="00820BF9" w:rsidRPr="008F20AC" w:rsidRDefault="00820BF9" w:rsidP="00820BF9">
      <w:pPr>
        <w:spacing w:line="360" w:lineRule="auto"/>
        <w:rPr>
          <w:rFonts w:ascii="Arial" w:hAnsi="Arial" w:cs="Arial"/>
          <w:b/>
          <w:sz w:val="24"/>
          <w:szCs w:val="24"/>
        </w:rPr>
      </w:pPr>
      <w:r w:rsidRPr="001B6245">
        <w:rPr>
          <w:rFonts w:ascii="Arial" w:hAnsi="Arial" w:cs="Arial"/>
          <w:b/>
          <w:sz w:val="24"/>
          <w:szCs w:val="24"/>
          <w:highlight w:val="yellow"/>
        </w:rPr>
        <w:t>Similarities:</w:t>
      </w:r>
    </w:p>
    <w:p w:rsidR="00820BF9" w:rsidRPr="008F20AC"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In addition</w:t>
      </w:r>
    </w:p>
    <w:p w:rsidR="00820BF9" w:rsidRPr="008F20AC"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Similarly</w:t>
      </w:r>
    </w:p>
    <w:p w:rsidR="00820BF9" w:rsidRPr="008F20AC"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Likewise</w:t>
      </w:r>
    </w:p>
    <w:p w:rsidR="00820BF9" w:rsidRPr="008F20AC"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Just as</w:t>
      </w:r>
    </w:p>
    <w:p w:rsidR="00820BF9" w:rsidRPr="008F20AC"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Same as</w:t>
      </w:r>
    </w:p>
    <w:p w:rsidR="00820BF9" w:rsidRPr="008F20AC"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Compared to</w:t>
      </w:r>
    </w:p>
    <w:p w:rsidR="00820BF9" w:rsidRPr="008F20AC"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As well as</w:t>
      </w:r>
    </w:p>
    <w:p w:rsidR="00820BF9"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At the same time</w:t>
      </w:r>
    </w:p>
    <w:p w:rsidR="00820BF9" w:rsidRPr="008F20AC" w:rsidRDefault="00820BF9" w:rsidP="00820BF9">
      <w:pPr>
        <w:spacing w:line="360" w:lineRule="auto"/>
        <w:rPr>
          <w:rFonts w:ascii="Arial" w:hAnsi="Arial" w:cs="Arial"/>
          <w:b/>
          <w:sz w:val="24"/>
          <w:szCs w:val="24"/>
        </w:rPr>
      </w:pPr>
      <w:r w:rsidRPr="001B6245">
        <w:rPr>
          <w:rFonts w:ascii="Arial" w:hAnsi="Arial" w:cs="Arial"/>
          <w:b/>
          <w:sz w:val="24"/>
          <w:szCs w:val="24"/>
          <w:highlight w:val="cyan"/>
        </w:rPr>
        <w:t>Differences:</w:t>
      </w:r>
    </w:p>
    <w:p w:rsidR="00820BF9"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However</w:t>
      </w:r>
    </w:p>
    <w:p w:rsidR="00820BF9"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Whereas</w:t>
      </w:r>
    </w:p>
    <w:p w:rsidR="00820BF9"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Unlike</w:t>
      </w:r>
    </w:p>
    <w:p w:rsidR="00820BF9"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On the contrary</w:t>
      </w:r>
    </w:p>
    <w:p w:rsidR="00820BF9"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Conversely</w:t>
      </w:r>
    </w:p>
    <w:p w:rsidR="00820BF9"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On the other hand</w:t>
      </w:r>
    </w:p>
    <w:p w:rsidR="00820BF9"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Although</w:t>
      </w:r>
    </w:p>
    <w:p w:rsidR="00820BF9" w:rsidRPr="008F20AC"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Meanwhile </w:t>
      </w:r>
    </w:p>
    <w:p w:rsidR="00820BF9" w:rsidRDefault="00820BF9" w:rsidP="00820BF9">
      <w:pPr>
        <w:spacing w:line="360" w:lineRule="auto"/>
        <w:rPr>
          <w:rFonts w:ascii="Arial" w:hAnsi="Arial" w:cs="Arial"/>
          <w:sz w:val="24"/>
          <w:szCs w:val="24"/>
          <w:highlight w:val="green"/>
        </w:rPr>
        <w:sectPr w:rsidR="00820BF9" w:rsidSect="008F20AC">
          <w:type w:val="continuous"/>
          <w:pgSz w:w="12240" w:h="15840"/>
          <w:pgMar w:top="1440" w:right="1440" w:bottom="1440" w:left="1440" w:header="708" w:footer="708" w:gutter="0"/>
          <w:cols w:num="2" w:space="708"/>
          <w:docGrid w:linePitch="360"/>
        </w:sectPr>
      </w:pPr>
    </w:p>
    <w:p w:rsidR="00820BF9" w:rsidRDefault="00820BF9" w:rsidP="00820BF9">
      <w:pPr>
        <w:spacing w:line="360" w:lineRule="auto"/>
        <w:rPr>
          <w:rFonts w:ascii="Arial" w:hAnsi="Arial" w:cs="Arial"/>
          <w:sz w:val="24"/>
          <w:szCs w:val="24"/>
          <w:highlight w:val="green"/>
        </w:rPr>
      </w:pPr>
      <w:r>
        <w:rPr>
          <w:rFonts w:ascii="Arial" w:hAnsi="Arial" w:cs="Arial"/>
          <w:sz w:val="24"/>
          <w:szCs w:val="24"/>
          <w:highlight w:val="green"/>
        </w:rPr>
        <w:t>But a strong thesis also illustrates the “so what”</w:t>
      </w:r>
      <w:r w:rsidR="00E542F0">
        <w:rPr>
          <w:rFonts w:ascii="Arial" w:hAnsi="Arial" w:cs="Arial"/>
          <w:sz w:val="24"/>
          <w:szCs w:val="24"/>
          <w:highlight w:val="green"/>
        </w:rPr>
        <w:t xml:space="preserve"> (</w:t>
      </w:r>
      <w:r w:rsidR="00E542F0" w:rsidRPr="00E542F0">
        <w:rPr>
          <w:rFonts w:ascii="Arial" w:hAnsi="Arial" w:cs="Arial"/>
          <w:i/>
          <w:sz w:val="24"/>
          <w:szCs w:val="24"/>
          <w:highlight w:val="green"/>
        </w:rPr>
        <w:t>clarify, fresh insight, sharper focus, better than…</w:t>
      </w:r>
      <w:r w:rsidR="00E542F0">
        <w:rPr>
          <w:rFonts w:ascii="Arial" w:hAnsi="Arial" w:cs="Arial"/>
          <w:sz w:val="24"/>
          <w:szCs w:val="24"/>
          <w:highlight w:val="green"/>
        </w:rPr>
        <w:t xml:space="preserve">) </w:t>
      </w:r>
      <w:r>
        <w:rPr>
          <w:rFonts w:ascii="Arial" w:hAnsi="Arial" w:cs="Arial"/>
          <w:sz w:val="24"/>
          <w:szCs w:val="24"/>
          <w:highlight w:val="green"/>
        </w:rPr>
        <w:t xml:space="preserve"> </w:t>
      </w:r>
    </w:p>
    <w:p w:rsidR="00820BF9" w:rsidRPr="002C3823" w:rsidRDefault="00631EC1" w:rsidP="00820BF9">
      <w:pPr>
        <w:spacing w:line="360" w:lineRule="auto"/>
        <w:rPr>
          <w:rFonts w:ascii="Arial" w:hAnsi="Arial" w:cs="Arial"/>
          <w:b/>
          <w:sz w:val="24"/>
          <w:szCs w:val="24"/>
        </w:rPr>
      </w:pPr>
      <w:r>
        <w:rPr>
          <w:rFonts w:ascii="Arial" w:hAnsi="Arial" w:cs="Arial"/>
          <w:b/>
          <w:sz w:val="24"/>
          <w:szCs w:val="24"/>
        </w:rPr>
        <w:t>“</w:t>
      </w:r>
      <w:proofErr w:type="gramStart"/>
      <w:r w:rsidR="00820BF9">
        <w:rPr>
          <w:rFonts w:ascii="Arial" w:hAnsi="Arial" w:cs="Arial"/>
          <w:b/>
          <w:sz w:val="24"/>
          <w:szCs w:val="24"/>
        </w:rPr>
        <w:t>So</w:t>
      </w:r>
      <w:proofErr w:type="gramEnd"/>
      <w:r w:rsidR="00820BF9">
        <w:rPr>
          <w:rFonts w:ascii="Arial" w:hAnsi="Arial" w:cs="Arial"/>
          <w:b/>
          <w:sz w:val="24"/>
          <w:szCs w:val="24"/>
        </w:rPr>
        <w:t xml:space="preserve"> what</w:t>
      </w:r>
      <w:r>
        <w:rPr>
          <w:rFonts w:ascii="Arial" w:hAnsi="Arial" w:cs="Arial"/>
          <w:b/>
          <w:sz w:val="24"/>
          <w:szCs w:val="24"/>
        </w:rPr>
        <w:t>”</w:t>
      </w:r>
      <w:r w:rsidR="00820BF9">
        <w:rPr>
          <w:rFonts w:ascii="Arial" w:hAnsi="Arial" w:cs="Arial"/>
          <w:b/>
          <w:sz w:val="24"/>
          <w:szCs w:val="24"/>
        </w:rPr>
        <w:t xml:space="preserve"> transition words: </w:t>
      </w:r>
      <w:r w:rsidR="00820BF9" w:rsidRPr="002C3823">
        <w:rPr>
          <w:rFonts w:ascii="Arial" w:hAnsi="Arial" w:cs="Arial"/>
          <w:sz w:val="24"/>
          <w:szCs w:val="24"/>
        </w:rPr>
        <w:t>Ultimately, Regardless of the differences, in addition, furthermore, therefore, subsequently</w:t>
      </w:r>
      <w:r>
        <w:rPr>
          <w:rFonts w:ascii="Arial" w:hAnsi="Arial" w:cs="Arial"/>
          <w:b/>
          <w:sz w:val="24"/>
          <w:szCs w:val="24"/>
        </w:rPr>
        <w:t xml:space="preserve">, </w:t>
      </w:r>
      <w:r>
        <w:rPr>
          <w:rFonts w:ascii="Arial" w:hAnsi="Arial" w:cs="Arial"/>
          <w:sz w:val="24"/>
          <w:szCs w:val="24"/>
        </w:rPr>
        <w:t>o</w:t>
      </w:r>
      <w:r w:rsidRPr="00631EC1">
        <w:rPr>
          <w:rFonts w:ascii="Arial" w:hAnsi="Arial" w:cs="Arial"/>
          <w:sz w:val="24"/>
          <w:szCs w:val="24"/>
        </w:rPr>
        <w:t xml:space="preserve">ne learns, </w:t>
      </w:r>
      <w:r>
        <w:rPr>
          <w:rFonts w:ascii="Arial" w:hAnsi="Arial" w:cs="Arial"/>
          <w:sz w:val="24"/>
          <w:szCs w:val="24"/>
        </w:rPr>
        <w:t>t</w:t>
      </w:r>
      <w:r w:rsidRPr="00631EC1">
        <w:rPr>
          <w:rFonts w:ascii="Arial" w:hAnsi="Arial" w:cs="Arial"/>
          <w:sz w:val="24"/>
          <w:szCs w:val="24"/>
        </w:rPr>
        <w:t>he authors teach the reader,</w:t>
      </w:r>
      <w:r>
        <w:rPr>
          <w:rFonts w:ascii="Arial" w:hAnsi="Arial" w:cs="Arial"/>
          <w:b/>
          <w:sz w:val="24"/>
          <w:szCs w:val="24"/>
        </w:rPr>
        <w:t xml:space="preserve"> </w:t>
      </w:r>
    </w:p>
    <w:p w:rsidR="00820BF9" w:rsidRDefault="00820BF9" w:rsidP="00820BF9">
      <w:pPr>
        <w:spacing w:line="360" w:lineRule="auto"/>
        <w:rPr>
          <w:rFonts w:ascii="Arial" w:hAnsi="Arial" w:cs="Arial"/>
          <w:b/>
          <w:sz w:val="24"/>
          <w:szCs w:val="24"/>
        </w:rPr>
      </w:pPr>
      <w:proofErr w:type="spellStart"/>
      <w:r w:rsidRPr="001B6245">
        <w:rPr>
          <w:rFonts w:ascii="Arial" w:hAnsi="Arial" w:cs="Arial"/>
          <w:b/>
          <w:sz w:val="24"/>
          <w:szCs w:val="24"/>
        </w:rPr>
        <w:t>Eg.</w:t>
      </w:r>
      <w:proofErr w:type="spellEnd"/>
      <w:r w:rsidRPr="001B6245">
        <w:rPr>
          <w:rFonts w:ascii="Arial" w:hAnsi="Arial" w:cs="Arial"/>
          <w:b/>
          <w:sz w:val="24"/>
          <w:szCs w:val="24"/>
        </w:rPr>
        <w:t xml:space="preserve"> </w:t>
      </w:r>
    </w:p>
    <w:p w:rsidR="00020F13" w:rsidRDefault="00020F13" w:rsidP="00820BF9">
      <w:pPr>
        <w:spacing w:line="360" w:lineRule="auto"/>
        <w:rPr>
          <w:rFonts w:ascii="Arial" w:hAnsi="Arial" w:cs="Arial"/>
          <w:b/>
          <w:sz w:val="24"/>
          <w:szCs w:val="24"/>
        </w:rPr>
      </w:pPr>
      <w:r>
        <w:rPr>
          <w:rFonts w:ascii="Arial" w:hAnsi="Arial" w:cs="Arial"/>
          <w:b/>
          <w:sz w:val="24"/>
          <w:szCs w:val="24"/>
        </w:rPr>
        <w:t xml:space="preserve">(With the titles included in thesis) </w:t>
      </w:r>
    </w:p>
    <w:p w:rsidR="00426754" w:rsidRPr="001B6245" w:rsidRDefault="00426754" w:rsidP="00820BF9">
      <w:pPr>
        <w:spacing w:line="360" w:lineRule="auto"/>
        <w:rPr>
          <w:rFonts w:ascii="Arial" w:hAnsi="Arial" w:cs="Arial"/>
          <w:b/>
          <w:sz w:val="24"/>
          <w:szCs w:val="24"/>
        </w:rPr>
      </w:pPr>
      <w:r>
        <w:rPr>
          <w:rFonts w:ascii="Arial" w:hAnsi="Arial" w:cs="Arial"/>
          <w:b/>
          <w:sz w:val="24"/>
          <w:szCs w:val="24"/>
        </w:rPr>
        <w:t xml:space="preserve">Q. How does one combat racism? </w:t>
      </w:r>
    </w:p>
    <w:p w:rsidR="00820BF9" w:rsidRPr="008F20AC" w:rsidRDefault="003342E3" w:rsidP="00820BF9">
      <w:pPr>
        <w:spacing w:line="360" w:lineRule="auto"/>
        <w:rPr>
          <w:rFonts w:ascii="Arial" w:hAnsi="Arial" w:cs="Arial"/>
          <w:sz w:val="24"/>
          <w:szCs w:val="24"/>
        </w:rPr>
      </w:pPr>
      <w:r w:rsidRPr="008F20AC">
        <w:rPr>
          <w:rFonts w:ascii="Arial" w:hAnsi="Arial" w:cs="Arial"/>
          <w:noProof/>
          <w:sz w:val="24"/>
          <w:szCs w:val="24"/>
          <w:lang w:val="en-US" w:eastAsia="en-US"/>
        </w:rPr>
        <mc:AlternateContent>
          <mc:Choice Requires="wps">
            <w:drawing>
              <wp:anchor distT="45720" distB="45720" distL="114300" distR="114300" simplePos="0" relativeHeight="251659264" behindDoc="0" locked="0" layoutInCell="1" allowOverlap="1" wp14:anchorId="15E2EFBA" wp14:editId="3E13605A">
                <wp:simplePos x="0" y="0"/>
                <wp:positionH relativeFrom="column">
                  <wp:posOffset>431800</wp:posOffset>
                </wp:positionH>
                <wp:positionV relativeFrom="paragraph">
                  <wp:posOffset>1619885</wp:posOffset>
                </wp:positionV>
                <wp:extent cx="1957705" cy="548005"/>
                <wp:effectExtent l="0" t="0" r="2349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548005"/>
                        </a:xfrm>
                        <a:prstGeom prst="rect">
                          <a:avLst/>
                        </a:prstGeom>
                        <a:solidFill>
                          <a:srgbClr val="FFFFFF"/>
                        </a:solidFill>
                        <a:ln w="9525">
                          <a:solidFill>
                            <a:srgbClr val="000000"/>
                          </a:solidFill>
                          <a:miter lim="800000"/>
                          <a:headEnd/>
                          <a:tailEnd/>
                        </a:ln>
                      </wps:spPr>
                      <wps:txbx>
                        <w:txbxContent>
                          <w:p w:rsidR="00820BF9" w:rsidRDefault="00820BF9" w:rsidP="00820BF9">
                            <w:r>
                              <w:t>Note that the short story is in quotation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E2EFBA" id="_x0000_t202" coordsize="21600,21600" o:spt="202" path="m,l,21600r21600,l21600,xe">
                <v:stroke joinstyle="miter"/>
                <v:path gradientshapeok="t" o:connecttype="rect"/>
              </v:shapetype>
              <v:shape id="Text Box 2" o:spid="_x0000_s1026" type="#_x0000_t202" style="position:absolute;margin-left:34pt;margin-top:127.55pt;width:154.15pt;height:4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">
                <v:textbox>
                  <w:txbxContent>
                    <w:p w:rsidR="00820BF9" w:rsidRDefault="00820BF9" w:rsidP="00820BF9">
                      <w:r>
                        <w:t>Note that the short story is in quotation marks</w:t>
                      </w:r>
                    </w:p>
                  </w:txbxContent>
                </v:textbox>
                <w10:wrap type="square"/>
              </v:shape>
            </w:pict>
          </mc:Fallback>
        </mc:AlternateContent>
      </w:r>
      <w:r w:rsidR="00820BF9" w:rsidRPr="001B6245">
        <w:rPr>
          <w:rFonts w:ascii="Arial" w:hAnsi="Arial" w:cs="Arial"/>
          <w:sz w:val="24"/>
          <w:szCs w:val="24"/>
          <w:highlight w:val="yellow"/>
        </w:rPr>
        <w:t>Similarly</w:t>
      </w:r>
      <w:r w:rsidR="00820BF9">
        <w:rPr>
          <w:rFonts w:ascii="Arial" w:hAnsi="Arial" w:cs="Arial"/>
          <w:sz w:val="24"/>
          <w:szCs w:val="24"/>
        </w:rPr>
        <w:t xml:space="preserve">, </w:t>
      </w:r>
      <w:r w:rsidR="00820BF9" w:rsidRPr="008F20AC">
        <w:rPr>
          <w:rFonts w:ascii="Arial" w:hAnsi="Arial" w:cs="Arial"/>
          <w:sz w:val="24"/>
          <w:szCs w:val="24"/>
        </w:rPr>
        <w:t xml:space="preserve">the characters in </w:t>
      </w:r>
      <w:r w:rsidR="00820BF9" w:rsidRPr="008F20AC">
        <w:rPr>
          <w:rFonts w:ascii="Arial" w:hAnsi="Arial" w:cs="Arial"/>
          <w:i/>
          <w:sz w:val="24"/>
          <w:szCs w:val="24"/>
        </w:rPr>
        <w:t>The Help</w:t>
      </w:r>
      <w:r w:rsidR="00820BF9" w:rsidRPr="008F20AC">
        <w:rPr>
          <w:rFonts w:ascii="Arial" w:hAnsi="Arial" w:cs="Arial"/>
          <w:sz w:val="24"/>
          <w:szCs w:val="24"/>
        </w:rPr>
        <w:t xml:space="preserve"> and the speaker in the “Danger of Silence” tell a story of fighting against discrimination in society. In </w:t>
      </w:r>
      <w:r w:rsidR="00820BF9" w:rsidRPr="008F20AC">
        <w:rPr>
          <w:rFonts w:ascii="Arial" w:hAnsi="Arial" w:cs="Arial"/>
          <w:i/>
          <w:sz w:val="24"/>
          <w:szCs w:val="24"/>
        </w:rPr>
        <w:t>The Help</w:t>
      </w:r>
      <w:r w:rsidR="00820BF9" w:rsidRPr="008F20AC">
        <w:rPr>
          <w:rFonts w:ascii="Arial" w:hAnsi="Arial" w:cs="Arial"/>
          <w:sz w:val="24"/>
          <w:szCs w:val="24"/>
        </w:rPr>
        <w:t>, Skeeter raises awareness of racial discrimination by showing the African</w:t>
      </w:r>
      <w:r w:rsidR="00820BF9">
        <w:rPr>
          <w:rFonts w:ascii="Arial" w:hAnsi="Arial" w:cs="Arial"/>
          <w:sz w:val="24"/>
          <w:szCs w:val="24"/>
        </w:rPr>
        <w:t xml:space="preserve"> American helps’ point of view; </w:t>
      </w:r>
      <w:r w:rsidR="00820BF9" w:rsidRPr="001B6245">
        <w:rPr>
          <w:rFonts w:ascii="Arial" w:hAnsi="Arial" w:cs="Arial"/>
          <w:sz w:val="24"/>
          <w:szCs w:val="24"/>
          <w:highlight w:val="cyan"/>
        </w:rPr>
        <w:t>however</w:t>
      </w:r>
      <w:r w:rsidR="00820BF9">
        <w:rPr>
          <w:rFonts w:ascii="Arial" w:hAnsi="Arial" w:cs="Arial"/>
          <w:sz w:val="24"/>
          <w:szCs w:val="24"/>
        </w:rPr>
        <w:t xml:space="preserve">, </w:t>
      </w:r>
      <w:r w:rsidR="00820BF9" w:rsidRPr="008F20AC">
        <w:rPr>
          <w:rFonts w:ascii="Arial" w:hAnsi="Arial" w:cs="Arial"/>
          <w:sz w:val="24"/>
          <w:szCs w:val="24"/>
        </w:rPr>
        <w:t xml:space="preserve">“The Danger of Silence” differs in how the speaker teaches his students to use the privilege of their voices to stand up. </w:t>
      </w:r>
      <w:r w:rsidR="00820BF9" w:rsidRPr="008F20AC">
        <w:rPr>
          <w:rFonts w:ascii="Arial" w:hAnsi="Arial" w:cs="Arial"/>
          <w:sz w:val="24"/>
          <w:szCs w:val="24"/>
          <w:highlight w:val="green"/>
        </w:rPr>
        <w:t>Regardless,</w:t>
      </w:r>
      <w:r w:rsidR="00820BF9" w:rsidRPr="008F20AC">
        <w:rPr>
          <w:rFonts w:ascii="Arial" w:hAnsi="Arial" w:cs="Arial"/>
          <w:sz w:val="24"/>
          <w:szCs w:val="24"/>
        </w:rPr>
        <w:t xml:space="preserve"> both e</w:t>
      </w:r>
      <w:r w:rsidR="00820BF9">
        <w:rPr>
          <w:rFonts w:ascii="Arial" w:hAnsi="Arial" w:cs="Arial"/>
          <w:sz w:val="24"/>
          <w:szCs w:val="24"/>
        </w:rPr>
        <w:t xml:space="preserve">xpress one voice can fight back against injustice. </w:t>
      </w:r>
    </w:p>
    <w:p w:rsidR="00820BF9" w:rsidRDefault="003342E3" w:rsidP="00820BF9">
      <w:pPr>
        <w:spacing w:line="360" w:lineRule="auto"/>
        <w:ind w:firstLine="720"/>
        <w:rPr>
          <w:rFonts w:ascii="Arial" w:hAnsi="Arial" w:cs="Arial"/>
          <w:sz w:val="24"/>
          <w:szCs w:val="24"/>
        </w:rPr>
      </w:pPr>
      <w:bookmarkStart w:id="0" w:name="_GoBack"/>
      <w:bookmarkEnd w:id="0"/>
      <w:r w:rsidRPr="008F20AC">
        <w:rPr>
          <w:rFonts w:ascii="Arial" w:hAnsi="Arial" w:cs="Arial"/>
          <w:noProof/>
          <w:sz w:val="24"/>
          <w:szCs w:val="24"/>
          <w:lang w:val="en-US" w:eastAsia="en-US"/>
        </w:rPr>
        <mc:AlternateContent>
          <mc:Choice Requires="wps">
            <w:drawing>
              <wp:anchor distT="45720" distB="45720" distL="114300" distR="114300" simplePos="0" relativeHeight="251660288" behindDoc="0" locked="0" layoutInCell="1" allowOverlap="1" wp14:anchorId="49AF6C0D" wp14:editId="69D11A18">
                <wp:simplePos x="0" y="0"/>
                <wp:positionH relativeFrom="column">
                  <wp:posOffset>3414395</wp:posOffset>
                </wp:positionH>
                <wp:positionV relativeFrom="paragraph">
                  <wp:posOffset>-134620</wp:posOffset>
                </wp:positionV>
                <wp:extent cx="1860550" cy="634365"/>
                <wp:effectExtent l="0" t="0" r="2540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634365"/>
                        </a:xfrm>
                        <a:prstGeom prst="rect">
                          <a:avLst/>
                        </a:prstGeom>
                        <a:solidFill>
                          <a:srgbClr val="FFFFFF"/>
                        </a:solidFill>
                        <a:ln w="9525">
                          <a:solidFill>
                            <a:srgbClr val="000000"/>
                          </a:solidFill>
                          <a:miter lim="800000"/>
                          <a:headEnd/>
                          <a:tailEnd/>
                        </a:ln>
                      </wps:spPr>
                      <wps:txbx>
                        <w:txbxContent>
                          <w:p w:rsidR="00820BF9" w:rsidRDefault="00820BF9" w:rsidP="00820BF9">
                            <w:r>
                              <w:t xml:space="preserve">Note the movie/novel is in italicize.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F6C0D" id="_x0000_s1027" type="#_x0000_t202" style="position:absolute;left:0;text-align:left;margin-left:268.85pt;margin-top:-10.6pt;width:146.5pt;height:49.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">
                <v:textbox>
                  <w:txbxContent>
                    <w:p w:rsidR="00820BF9" w:rsidRDefault="00820BF9" w:rsidP="00820BF9">
                      <w:r>
                        <w:t xml:space="preserve">Note the movie/novel is in italicize. </w:t>
                      </w:r>
                    </w:p>
                  </w:txbxContent>
                </v:textbox>
                <w10:wrap type="square"/>
              </v:shape>
            </w:pict>
          </mc:Fallback>
        </mc:AlternateContent>
      </w:r>
    </w:p>
    <w:p w:rsidR="00820BF9" w:rsidRPr="008F20AC" w:rsidRDefault="00820BF9" w:rsidP="00820BF9">
      <w:pPr>
        <w:spacing w:line="360" w:lineRule="auto"/>
        <w:ind w:firstLine="720"/>
        <w:rPr>
          <w:rFonts w:ascii="Arial" w:hAnsi="Arial" w:cs="Arial"/>
          <w:sz w:val="24"/>
          <w:szCs w:val="24"/>
        </w:rPr>
      </w:pPr>
    </w:p>
    <w:p w:rsidR="00820BF9" w:rsidRPr="008F20AC" w:rsidRDefault="00820BF9" w:rsidP="00820BF9">
      <w:pPr>
        <w:spacing w:line="360" w:lineRule="auto"/>
        <w:ind w:firstLine="720"/>
        <w:rPr>
          <w:rFonts w:ascii="Arial" w:hAnsi="Arial" w:cs="Arial"/>
          <w:sz w:val="24"/>
          <w:szCs w:val="24"/>
        </w:rPr>
      </w:pPr>
    </w:p>
    <w:p w:rsidR="00820BF9" w:rsidRPr="00020F13" w:rsidRDefault="00020F13" w:rsidP="00820BF9">
      <w:pPr>
        <w:spacing w:line="276" w:lineRule="auto"/>
        <w:rPr>
          <w:rFonts w:ascii="Arial" w:hAnsi="Arial" w:cs="Arial"/>
          <w:b/>
          <w:sz w:val="24"/>
          <w:szCs w:val="24"/>
          <w:lang w:val="en-US"/>
        </w:rPr>
      </w:pPr>
      <w:r w:rsidRPr="00020F13">
        <w:rPr>
          <w:rFonts w:ascii="Arial" w:hAnsi="Arial" w:cs="Arial"/>
          <w:b/>
          <w:sz w:val="24"/>
          <w:szCs w:val="24"/>
          <w:lang w:val="en-US"/>
        </w:rPr>
        <w:t>(Without the titles included in thesis)</w:t>
      </w:r>
    </w:p>
    <w:p w:rsidR="00B12167" w:rsidRDefault="00B12167" w:rsidP="00E542F0">
      <w:pPr>
        <w:spacing w:line="240" w:lineRule="auto"/>
        <w:jc w:val="both"/>
        <w:rPr>
          <w:rFonts w:ascii="Times New Roman" w:hAnsi="Times New Roman" w:cs="Times New Roman"/>
          <w:b/>
          <w:sz w:val="24"/>
        </w:rPr>
      </w:pPr>
      <w:r w:rsidRPr="00B12167">
        <w:rPr>
          <w:rFonts w:ascii="Times New Roman" w:hAnsi="Times New Roman" w:cs="Times New Roman"/>
          <w:b/>
          <w:sz w:val="24"/>
          <w:highlight w:val="cyan"/>
        </w:rPr>
        <w:t>Despite their differences</w:t>
      </w:r>
      <w:r w:rsidRPr="00837703">
        <w:rPr>
          <w:rFonts w:ascii="Times New Roman" w:hAnsi="Times New Roman" w:cs="Times New Roman"/>
          <w:b/>
          <w:sz w:val="24"/>
        </w:rPr>
        <w:t xml:space="preserve"> in formatting and expression, the two pieces of literature managed to convey the </w:t>
      </w:r>
      <w:r w:rsidRPr="00837703">
        <w:rPr>
          <w:rFonts w:ascii="Times New Roman" w:hAnsi="Times New Roman" w:cs="Times New Roman"/>
          <w:b/>
          <w:sz w:val="24"/>
          <w:highlight w:val="yellow"/>
        </w:rPr>
        <w:t>same message.</w:t>
      </w:r>
      <w:r w:rsidRPr="00837703">
        <w:rPr>
          <w:rFonts w:ascii="Times New Roman" w:hAnsi="Times New Roman" w:cs="Times New Roman"/>
          <w:b/>
          <w:sz w:val="24"/>
        </w:rPr>
        <w:t xml:space="preserve"> The writings tell of the difficulty of keeping a clear cultural identity under the prejudice and pressure of their society. </w:t>
      </w:r>
      <w:r w:rsidRPr="00B12167">
        <w:rPr>
          <w:rFonts w:ascii="Times New Roman" w:hAnsi="Times New Roman" w:cs="Times New Roman"/>
          <w:b/>
          <w:sz w:val="24"/>
          <w:highlight w:val="green"/>
        </w:rPr>
        <w:t>Ultimately,</w:t>
      </w:r>
      <w:r>
        <w:rPr>
          <w:rFonts w:ascii="Times New Roman" w:hAnsi="Times New Roman" w:cs="Times New Roman"/>
          <w:b/>
          <w:sz w:val="24"/>
        </w:rPr>
        <w:t xml:space="preserve"> t</w:t>
      </w:r>
      <w:r w:rsidRPr="00837703">
        <w:rPr>
          <w:rFonts w:ascii="Times New Roman" w:hAnsi="Times New Roman" w:cs="Times New Roman"/>
          <w:b/>
          <w:sz w:val="24"/>
        </w:rPr>
        <w:t xml:space="preserve">hey show how individuals </w:t>
      </w:r>
      <w:r>
        <w:rPr>
          <w:rFonts w:ascii="Times New Roman" w:hAnsi="Times New Roman" w:cs="Times New Roman"/>
          <w:b/>
          <w:sz w:val="24"/>
        </w:rPr>
        <w:t xml:space="preserve">new to our country </w:t>
      </w:r>
      <w:r w:rsidRPr="00837703">
        <w:rPr>
          <w:rFonts w:ascii="Times New Roman" w:hAnsi="Times New Roman" w:cs="Times New Roman"/>
          <w:b/>
          <w:sz w:val="24"/>
        </w:rPr>
        <w:t xml:space="preserve">can overcome this challenge if they retain their precious memories and respect their culture regardless of adversity. </w:t>
      </w:r>
      <w:r w:rsidR="00020F13">
        <w:rPr>
          <w:rFonts w:ascii="Times New Roman" w:hAnsi="Times New Roman" w:cs="Times New Roman"/>
          <w:b/>
          <w:sz w:val="24"/>
        </w:rPr>
        <w:t xml:space="preserve">This may help with fitting in and make one happier. </w:t>
      </w:r>
    </w:p>
    <w:p w:rsidR="00E542F0" w:rsidRDefault="001E68DD" w:rsidP="00E542F0">
      <w:pPr>
        <w:spacing w:line="240" w:lineRule="auto"/>
        <w:jc w:val="both"/>
        <w:rPr>
          <w:rFonts w:ascii="Times New Roman" w:hAnsi="Times New Roman" w:cs="Times New Roman"/>
          <w:b/>
          <w:sz w:val="24"/>
        </w:rPr>
      </w:pPr>
      <w:r>
        <w:rPr>
          <w:rFonts w:ascii="Times New Roman" w:hAnsi="Times New Roman" w:cs="Times New Roman"/>
          <w:b/>
          <w:sz w:val="24"/>
        </w:rPr>
        <w:t xml:space="preserve">How can one cope with loss? </w:t>
      </w:r>
    </w:p>
    <w:p w:rsidR="00E542F0" w:rsidRDefault="00E542F0" w:rsidP="00E542F0">
      <w:pPr>
        <w:rPr>
          <w:sz w:val="24"/>
          <w:szCs w:val="24"/>
        </w:rPr>
      </w:pPr>
      <w:r w:rsidRPr="00E542F0">
        <w:rPr>
          <w:i/>
          <w:sz w:val="24"/>
          <w:szCs w:val="24"/>
        </w:rPr>
        <w:t>The Help</w:t>
      </w:r>
      <w:r w:rsidRPr="00E542F0">
        <w:rPr>
          <w:sz w:val="24"/>
          <w:szCs w:val="24"/>
        </w:rPr>
        <w:t xml:space="preserve"> and </w:t>
      </w:r>
      <w:r w:rsidRPr="00E542F0">
        <w:rPr>
          <w:i/>
          <w:sz w:val="24"/>
          <w:szCs w:val="24"/>
        </w:rPr>
        <w:t>The Book Thief</w:t>
      </w:r>
      <w:r w:rsidRPr="00E542F0">
        <w:rPr>
          <w:sz w:val="24"/>
          <w:szCs w:val="24"/>
        </w:rPr>
        <w:t xml:space="preserve"> </w:t>
      </w:r>
      <w:r w:rsidRPr="00E542F0">
        <w:rPr>
          <w:sz w:val="24"/>
          <w:szCs w:val="24"/>
          <w:highlight w:val="yellow"/>
        </w:rPr>
        <w:t>both</w:t>
      </w:r>
      <w:r w:rsidRPr="00E542F0">
        <w:rPr>
          <w:sz w:val="24"/>
          <w:szCs w:val="24"/>
        </w:rPr>
        <w:t xml:space="preserve"> show how relationships help us develop and the ways relationships can help people overcome losses. </w:t>
      </w:r>
      <w:r w:rsidRPr="00E542F0">
        <w:rPr>
          <w:sz w:val="24"/>
          <w:szCs w:val="24"/>
          <w:highlight w:val="yellow"/>
        </w:rPr>
        <w:t>Similarly</w:t>
      </w:r>
      <w:r w:rsidRPr="00E542F0">
        <w:rPr>
          <w:sz w:val="24"/>
          <w:szCs w:val="24"/>
        </w:rPr>
        <w:t xml:space="preserve">, each story has characters dealing with the death of their loved ones. In </w:t>
      </w:r>
      <w:r w:rsidRPr="00E542F0">
        <w:rPr>
          <w:i/>
          <w:sz w:val="24"/>
          <w:szCs w:val="24"/>
        </w:rPr>
        <w:t>Help</w:t>
      </w:r>
      <w:r w:rsidRPr="00E542F0">
        <w:rPr>
          <w:sz w:val="24"/>
          <w:szCs w:val="24"/>
        </w:rPr>
        <w:t xml:space="preserve">, Aibileen deals with the death of her son with the help of </w:t>
      </w:r>
      <w:proofErr w:type="spellStart"/>
      <w:r w:rsidRPr="00E542F0">
        <w:rPr>
          <w:sz w:val="24"/>
          <w:szCs w:val="24"/>
        </w:rPr>
        <w:t>Minny</w:t>
      </w:r>
      <w:proofErr w:type="spellEnd"/>
      <w:r w:rsidRPr="00E542F0">
        <w:rPr>
          <w:sz w:val="24"/>
          <w:szCs w:val="24"/>
        </w:rPr>
        <w:t xml:space="preserve"> who supports her in the grieving process, proving their friendship. Aibileen also finds an outlet for her love by loving the white children she takes care of. </w:t>
      </w:r>
      <w:r w:rsidRPr="00E542F0">
        <w:rPr>
          <w:sz w:val="24"/>
          <w:szCs w:val="24"/>
          <w:highlight w:val="cyan"/>
        </w:rPr>
        <w:t>Meanwhile</w:t>
      </w:r>
      <w:r w:rsidRPr="00E542F0">
        <w:rPr>
          <w:sz w:val="24"/>
          <w:szCs w:val="24"/>
        </w:rPr>
        <w:t xml:space="preserve"> in </w:t>
      </w:r>
      <w:r w:rsidRPr="00E542F0">
        <w:rPr>
          <w:i/>
          <w:sz w:val="24"/>
          <w:szCs w:val="24"/>
        </w:rPr>
        <w:t>Book Thief</w:t>
      </w:r>
      <w:r w:rsidRPr="00E542F0">
        <w:rPr>
          <w:sz w:val="24"/>
          <w:szCs w:val="24"/>
        </w:rPr>
        <w:t xml:space="preserve">, Liesel is left to mourn alone after her brother’s death and her mother giving her up. Liesel finds new relationships that lead her to develop trust and love again with her new foster parents and the friends she meets. </w:t>
      </w:r>
      <w:r w:rsidRPr="00E542F0">
        <w:rPr>
          <w:sz w:val="24"/>
          <w:szCs w:val="24"/>
          <w:highlight w:val="green"/>
        </w:rPr>
        <w:t>Therefore,</w:t>
      </w:r>
      <w:r w:rsidRPr="00E542F0">
        <w:rPr>
          <w:sz w:val="24"/>
          <w:szCs w:val="24"/>
        </w:rPr>
        <w:t xml:space="preserve"> both show how relationships can get us through tragedies and help us develop our own personal growth. </w:t>
      </w:r>
    </w:p>
    <w:p w:rsidR="00E542F0" w:rsidRDefault="00E542F0" w:rsidP="00E542F0">
      <w:pPr>
        <w:rPr>
          <w:sz w:val="24"/>
          <w:szCs w:val="24"/>
        </w:rPr>
      </w:pPr>
    </w:p>
    <w:p w:rsidR="00E542F0" w:rsidRPr="00E542F0" w:rsidRDefault="00E542F0" w:rsidP="00E542F0">
      <w:pPr>
        <w:rPr>
          <w:rFonts w:ascii="Arial" w:hAnsi="Arial" w:cs="Arial"/>
          <w:color w:val="002060"/>
          <w:sz w:val="24"/>
          <w:szCs w:val="24"/>
          <w:shd w:val="clear" w:color="auto" w:fill="FFFFFF"/>
        </w:rPr>
      </w:pPr>
      <w:r w:rsidRPr="00E542F0">
        <w:rPr>
          <w:rFonts w:ascii="Arial" w:hAnsi="Arial" w:cs="Arial"/>
          <w:color w:val="002060"/>
          <w:sz w:val="24"/>
          <w:szCs w:val="24"/>
          <w:shd w:val="clear" w:color="auto" w:fill="FFFFFF"/>
        </w:rPr>
        <w:t xml:space="preserve">In </w:t>
      </w:r>
      <w:r w:rsidRPr="00E542F0">
        <w:rPr>
          <w:rFonts w:ascii="Arial" w:hAnsi="Arial" w:cs="Arial"/>
          <w:i/>
          <w:color w:val="002060"/>
          <w:sz w:val="24"/>
          <w:szCs w:val="24"/>
          <w:shd w:val="clear" w:color="auto" w:fill="FFFFFF"/>
        </w:rPr>
        <w:t>Indian Horse</w:t>
      </w:r>
      <w:r w:rsidRPr="00E542F0">
        <w:rPr>
          <w:rFonts w:ascii="Arial" w:hAnsi="Arial" w:cs="Arial"/>
          <w:color w:val="002060"/>
          <w:sz w:val="24"/>
          <w:szCs w:val="24"/>
          <w:shd w:val="clear" w:color="auto" w:fill="FFFFFF"/>
        </w:rPr>
        <w:t xml:space="preserve"> and “Indian Education”, </w:t>
      </w:r>
      <w:r w:rsidRPr="00E542F0">
        <w:rPr>
          <w:rFonts w:ascii="Arial" w:hAnsi="Arial" w:cs="Arial"/>
          <w:color w:val="002060"/>
          <w:sz w:val="24"/>
          <w:szCs w:val="24"/>
          <w:highlight w:val="yellow"/>
          <w:shd w:val="clear" w:color="auto" w:fill="FFFFFF"/>
        </w:rPr>
        <w:t>both</w:t>
      </w:r>
      <w:r w:rsidRPr="00E542F0">
        <w:rPr>
          <w:rFonts w:ascii="Arial" w:hAnsi="Arial" w:cs="Arial"/>
          <w:color w:val="002060"/>
          <w:sz w:val="24"/>
          <w:szCs w:val="24"/>
          <w:shd w:val="clear" w:color="auto" w:fill="FFFFFF"/>
        </w:rPr>
        <w:t xml:space="preserve"> give insight into racial discrimination and its effect on First Nation Peoples. </w:t>
      </w:r>
      <w:r w:rsidRPr="00E542F0">
        <w:rPr>
          <w:rFonts w:ascii="Arial" w:hAnsi="Arial" w:cs="Arial"/>
          <w:color w:val="002060"/>
          <w:sz w:val="24"/>
          <w:szCs w:val="24"/>
          <w:highlight w:val="yellow"/>
          <w:shd w:val="clear" w:color="auto" w:fill="FFFFFF"/>
        </w:rPr>
        <w:t>Similarly</w:t>
      </w:r>
      <w:r w:rsidRPr="00E542F0">
        <w:rPr>
          <w:rFonts w:ascii="Arial" w:hAnsi="Arial" w:cs="Arial"/>
          <w:color w:val="002060"/>
          <w:sz w:val="24"/>
          <w:szCs w:val="24"/>
          <w:shd w:val="clear" w:color="auto" w:fill="FFFFFF"/>
        </w:rPr>
        <w:t xml:space="preserve">, both protagonists in the stories feel shameful of their heritage, due to racism in their community; </w:t>
      </w:r>
      <w:r w:rsidRPr="00DC00C0">
        <w:rPr>
          <w:rFonts w:ascii="Arial" w:hAnsi="Arial" w:cs="Arial"/>
          <w:color w:val="002060"/>
          <w:sz w:val="24"/>
          <w:szCs w:val="24"/>
          <w:highlight w:val="cyan"/>
          <w:shd w:val="clear" w:color="auto" w:fill="FFFFFF"/>
        </w:rPr>
        <w:t>however</w:t>
      </w:r>
      <w:r w:rsidRPr="00E542F0">
        <w:rPr>
          <w:rFonts w:ascii="Arial" w:hAnsi="Arial" w:cs="Arial"/>
          <w:color w:val="002060"/>
          <w:sz w:val="24"/>
          <w:szCs w:val="24"/>
          <w:shd w:val="clear" w:color="auto" w:fill="FFFFFF"/>
        </w:rPr>
        <w:t xml:space="preserve">, in </w:t>
      </w:r>
      <w:r w:rsidRPr="00E542F0">
        <w:rPr>
          <w:rFonts w:ascii="Arial" w:hAnsi="Arial" w:cs="Arial"/>
          <w:i/>
          <w:color w:val="002060"/>
          <w:sz w:val="24"/>
          <w:szCs w:val="24"/>
          <w:shd w:val="clear" w:color="auto" w:fill="FFFFFF"/>
        </w:rPr>
        <w:t>Indian</w:t>
      </w:r>
      <w:r w:rsidRPr="00E542F0">
        <w:rPr>
          <w:rFonts w:ascii="Arial" w:hAnsi="Arial" w:cs="Arial"/>
          <w:color w:val="002060"/>
          <w:sz w:val="24"/>
          <w:szCs w:val="24"/>
          <w:shd w:val="clear" w:color="auto" w:fill="FFFFFF"/>
        </w:rPr>
        <w:t xml:space="preserve">, Saul feels angry towards his First Nation’s heritage and towards others because of his experiences with racism. </w:t>
      </w:r>
      <w:r w:rsidRPr="00E542F0">
        <w:rPr>
          <w:rFonts w:ascii="Arial" w:hAnsi="Arial" w:cs="Arial"/>
          <w:color w:val="002060"/>
          <w:sz w:val="24"/>
          <w:szCs w:val="24"/>
          <w:highlight w:val="cyan"/>
          <w:shd w:val="clear" w:color="auto" w:fill="FFFFFF"/>
        </w:rPr>
        <w:t>Meanwhile</w:t>
      </w:r>
      <w:r w:rsidRPr="00E542F0">
        <w:rPr>
          <w:rFonts w:ascii="Arial" w:hAnsi="Arial" w:cs="Arial"/>
          <w:color w:val="002060"/>
          <w:sz w:val="24"/>
          <w:szCs w:val="24"/>
          <w:shd w:val="clear" w:color="auto" w:fill="FFFFFF"/>
        </w:rPr>
        <w:t xml:space="preserve">, in “Education”, Junior feels empowered to celebrate and embrace his First Nations background, because of his experiences with racism. </w:t>
      </w:r>
      <w:r w:rsidRPr="00E542F0">
        <w:rPr>
          <w:rFonts w:ascii="Arial" w:hAnsi="Arial" w:cs="Arial"/>
          <w:color w:val="002060"/>
          <w:sz w:val="24"/>
          <w:szCs w:val="24"/>
          <w:highlight w:val="green"/>
          <w:shd w:val="clear" w:color="auto" w:fill="FFFFFF"/>
        </w:rPr>
        <w:t>Furthermore</w:t>
      </w:r>
      <w:r w:rsidRPr="00E542F0">
        <w:rPr>
          <w:rFonts w:ascii="Arial" w:hAnsi="Arial" w:cs="Arial"/>
          <w:color w:val="002060"/>
          <w:sz w:val="24"/>
          <w:szCs w:val="24"/>
          <w:shd w:val="clear" w:color="auto" w:fill="FFFFFF"/>
        </w:rPr>
        <w:t xml:space="preserve">, racism may </w:t>
      </w:r>
      <w:r w:rsidR="00426754" w:rsidRPr="00E542F0">
        <w:rPr>
          <w:rFonts w:ascii="Arial" w:hAnsi="Arial" w:cs="Arial"/>
          <w:color w:val="002060"/>
          <w:sz w:val="24"/>
          <w:szCs w:val="24"/>
          <w:shd w:val="clear" w:color="auto" w:fill="FFFFFF"/>
        </w:rPr>
        <w:t>affect</w:t>
      </w:r>
      <w:r w:rsidRPr="00E542F0">
        <w:rPr>
          <w:rFonts w:ascii="Arial" w:hAnsi="Arial" w:cs="Arial"/>
          <w:color w:val="002060"/>
          <w:sz w:val="24"/>
          <w:szCs w:val="24"/>
          <w:shd w:val="clear" w:color="auto" w:fill="FFFFFF"/>
        </w:rPr>
        <w:t xml:space="preserve"> First Nation peoples by making one feel ashamed of their heritage; however, one can become proud of their background and can challenge racism to overcome shame. </w:t>
      </w:r>
    </w:p>
    <w:p w:rsidR="00E542F0" w:rsidRPr="00E542F0" w:rsidRDefault="00E542F0" w:rsidP="00E542F0">
      <w:pPr>
        <w:rPr>
          <w:sz w:val="24"/>
          <w:szCs w:val="24"/>
        </w:rPr>
      </w:pPr>
    </w:p>
    <w:p w:rsidR="00820BF9" w:rsidRDefault="00820BF9" w:rsidP="00820BF9">
      <w:pPr>
        <w:spacing w:line="360" w:lineRule="auto"/>
        <w:rPr>
          <w:rFonts w:ascii="Arial" w:hAnsi="Arial" w:cs="Arial"/>
          <w:sz w:val="24"/>
          <w:szCs w:val="24"/>
        </w:rPr>
      </w:pPr>
      <w:r w:rsidRPr="008F20AC">
        <w:rPr>
          <w:rFonts w:ascii="Arial" w:hAnsi="Arial" w:cs="Arial"/>
          <w:sz w:val="24"/>
          <w:szCs w:val="24"/>
        </w:rPr>
        <w:t xml:space="preserve">The use of the poetic device, allusion, is used by </w:t>
      </w:r>
      <w:r w:rsidRPr="001B6245">
        <w:rPr>
          <w:rFonts w:ascii="Arial" w:hAnsi="Arial" w:cs="Arial"/>
          <w:sz w:val="24"/>
          <w:szCs w:val="24"/>
          <w:highlight w:val="yellow"/>
        </w:rPr>
        <w:t>both</w:t>
      </w:r>
      <w:r w:rsidRPr="008F20AC">
        <w:rPr>
          <w:rFonts w:ascii="Arial" w:hAnsi="Arial" w:cs="Arial"/>
          <w:sz w:val="24"/>
          <w:szCs w:val="24"/>
        </w:rPr>
        <w:t xml:space="preserve"> poets to enhance meaning and illustrate purpose. Hughes’ “I, Too” alludes to the poem “I Hear America Singing” by Walt Whitman to demonstrate their place among Americans. </w:t>
      </w:r>
      <w:r w:rsidRPr="001B6245">
        <w:rPr>
          <w:rFonts w:ascii="Arial" w:hAnsi="Arial" w:cs="Arial"/>
          <w:sz w:val="24"/>
          <w:szCs w:val="24"/>
          <w:highlight w:val="cyan"/>
        </w:rPr>
        <w:t>In contrast</w:t>
      </w:r>
      <w:r w:rsidRPr="008F20AC">
        <w:rPr>
          <w:rFonts w:ascii="Arial" w:hAnsi="Arial" w:cs="Arial"/>
          <w:sz w:val="24"/>
          <w:szCs w:val="24"/>
        </w:rPr>
        <w:t xml:space="preserve">, Cullen’s “Yet Do I Marvel” alludes to Greek Mythology in order to exhibit how knowledgeable African </w:t>
      </w:r>
      <w:r w:rsidRPr="008F20AC">
        <w:rPr>
          <w:rFonts w:ascii="Arial" w:hAnsi="Arial" w:cs="Arial"/>
          <w:sz w:val="24"/>
          <w:szCs w:val="24"/>
        </w:rPr>
        <w:lastRenderedPageBreak/>
        <w:t xml:space="preserve">American poets can be. </w:t>
      </w:r>
      <w:r w:rsidRPr="001B6245">
        <w:rPr>
          <w:rFonts w:ascii="Arial" w:hAnsi="Arial" w:cs="Arial"/>
          <w:sz w:val="24"/>
          <w:szCs w:val="24"/>
          <w:highlight w:val="green"/>
        </w:rPr>
        <w:t>Furthermore</w:t>
      </w:r>
      <w:r>
        <w:rPr>
          <w:rFonts w:ascii="Arial" w:hAnsi="Arial" w:cs="Arial"/>
          <w:sz w:val="24"/>
          <w:szCs w:val="24"/>
        </w:rPr>
        <w:t>, t</w:t>
      </w:r>
      <w:r w:rsidRPr="008F20AC">
        <w:rPr>
          <w:rFonts w:ascii="Arial" w:hAnsi="Arial" w:cs="Arial"/>
          <w:sz w:val="24"/>
          <w:szCs w:val="24"/>
        </w:rPr>
        <w:t>he devices in both poems serve to the purpose of working towards a racially equal society.</w:t>
      </w:r>
    </w:p>
    <w:p w:rsidR="00E542F0" w:rsidRDefault="00E542F0" w:rsidP="00820BF9">
      <w:pPr>
        <w:spacing w:line="360" w:lineRule="auto"/>
        <w:rPr>
          <w:rFonts w:ascii="Arial" w:hAnsi="Arial" w:cs="Arial"/>
          <w:sz w:val="24"/>
          <w:szCs w:val="24"/>
        </w:rPr>
      </w:pPr>
    </w:p>
    <w:p w:rsidR="00E542F0" w:rsidRDefault="00E542F0" w:rsidP="00820BF9">
      <w:pPr>
        <w:spacing w:line="360" w:lineRule="auto"/>
      </w:pPr>
    </w:p>
    <w:p w:rsidR="00EB650E" w:rsidRDefault="00EB650E"/>
    <w:sectPr w:rsidR="00EB650E" w:rsidSect="008F20AC">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103" w:rsidRDefault="00995103" w:rsidP="00820BF9">
      <w:pPr>
        <w:spacing w:after="0" w:line="240" w:lineRule="auto"/>
      </w:pPr>
      <w:r>
        <w:separator/>
      </w:r>
    </w:p>
  </w:endnote>
  <w:endnote w:type="continuationSeparator" w:id="0">
    <w:p w:rsidR="00995103" w:rsidRDefault="00995103" w:rsidP="0082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103" w:rsidRDefault="00995103" w:rsidP="00820BF9">
      <w:pPr>
        <w:spacing w:after="0" w:line="240" w:lineRule="auto"/>
      </w:pPr>
      <w:r>
        <w:separator/>
      </w:r>
    </w:p>
  </w:footnote>
  <w:footnote w:type="continuationSeparator" w:id="0">
    <w:p w:rsidR="00995103" w:rsidRDefault="00995103" w:rsidP="00820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0AC" w:rsidRDefault="007E7263">
    <w:pPr>
      <w:pStyle w:val="Header"/>
      <w:rPr>
        <w:lang w:val="en-US"/>
      </w:rPr>
    </w:pPr>
    <w:r>
      <w:rPr>
        <w:lang w:val="en-US"/>
      </w:rPr>
      <w:t>Examples o</w:t>
    </w:r>
    <w:r w:rsidR="00820BF9">
      <w:rPr>
        <w:lang w:val="en-US"/>
      </w:rPr>
      <w:t>f thesis statements for grade 1</w:t>
    </w:r>
    <w:r w:rsidR="005E692F">
      <w:rPr>
        <w:lang w:val="en-US"/>
      </w:rPr>
      <w:t>0</w:t>
    </w:r>
    <w:r>
      <w:rPr>
        <w:lang w:val="en-US"/>
      </w:rPr>
      <w:t xml:space="preserve"> </w:t>
    </w:r>
  </w:p>
  <w:p w:rsidR="00777080" w:rsidRPr="008F20AC" w:rsidRDefault="0077708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77F3"/>
    <w:multiLevelType w:val="hybridMultilevel"/>
    <w:tmpl w:val="FD26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F069B"/>
    <w:multiLevelType w:val="hybridMultilevel"/>
    <w:tmpl w:val="42DC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BF9"/>
    <w:rsid w:val="00020F13"/>
    <w:rsid w:val="000D56BE"/>
    <w:rsid w:val="001E68DD"/>
    <w:rsid w:val="003342E3"/>
    <w:rsid w:val="00336909"/>
    <w:rsid w:val="00426754"/>
    <w:rsid w:val="00535054"/>
    <w:rsid w:val="005E692F"/>
    <w:rsid w:val="00631EC1"/>
    <w:rsid w:val="00777080"/>
    <w:rsid w:val="007E7263"/>
    <w:rsid w:val="00820BF9"/>
    <w:rsid w:val="00995103"/>
    <w:rsid w:val="00A14F07"/>
    <w:rsid w:val="00A50FFD"/>
    <w:rsid w:val="00B12167"/>
    <w:rsid w:val="00DC00C0"/>
    <w:rsid w:val="00E542F0"/>
    <w:rsid w:val="00EB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70681-61CF-4EC9-BC91-C41752A0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BF9"/>
    <w:rPr>
      <w:rFonts w:eastAsiaTheme="minorEastAsia"/>
      <w:lang w:val="en-CA"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BF9"/>
    <w:rPr>
      <w:rFonts w:eastAsiaTheme="minorEastAsia"/>
      <w:lang w:val="en-CA" w:eastAsia="ko-KR"/>
    </w:rPr>
  </w:style>
  <w:style w:type="paragraph" w:styleId="ListParagraph">
    <w:name w:val="List Paragraph"/>
    <w:basedOn w:val="Normal"/>
    <w:uiPriority w:val="34"/>
    <w:qFormat/>
    <w:rsid w:val="00820BF9"/>
    <w:pPr>
      <w:ind w:left="720"/>
      <w:contextualSpacing/>
    </w:pPr>
  </w:style>
  <w:style w:type="paragraph" w:styleId="Footer">
    <w:name w:val="footer"/>
    <w:basedOn w:val="Normal"/>
    <w:link w:val="FooterChar"/>
    <w:uiPriority w:val="99"/>
    <w:unhideWhenUsed/>
    <w:rsid w:val="00820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BF9"/>
    <w:rPr>
      <w:rFonts w:eastAsiaTheme="minorEastAsia"/>
      <w:lang w:val="en-CA" w:eastAsia="ko-KR"/>
    </w:rPr>
  </w:style>
  <w:style w:type="paragraph" w:styleId="BalloonText">
    <w:name w:val="Balloon Text"/>
    <w:basedOn w:val="Normal"/>
    <w:link w:val="BalloonTextChar"/>
    <w:uiPriority w:val="99"/>
    <w:semiHidden/>
    <w:unhideWhenUsed/>
    <w:rsid w:val="00A14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F07"/>
    <w:rPr>
      <w:rFonts w:ascii="Segoe UI" w:eastAsiaTheme="minorEastAsia" w:hAnsi="Segoe UI" w:cs="Segoe UI"/>
      <w:sz w:val="18"/>
      <w:szCs w:val="18"/>
      <w:lang w:val="en-CA"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4</cp:revision>
  <cp:lastPrinted>2018-12-14T23:32:00Z</cp:lastPrinted>
  <dcterms:created xsi:type="dcterms:W3CDTF">2018-12-12T17:49:00Z</dcterms:created>
  <dcterms:modified xsi:type="dcterms:W3CDTF">2019-11-14T16:21:00Z</dcterms:modified>
</cp:coreProperties>
</file>