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99A2" w14:textId="77777777" w:rsidR="00B3449A" w:rsidRPr="00B3449A" w:rsidRDefault="00B3449A" w:rsidP="00B3449A">
      <w:pPr>
        <w:jc w:val="center"/>
        <w:rPr>
          <w:rFonts w:ascii="Perpetua" w:hAnsi="Perpetua"/>
          <w:b/>
          <w:bCs/>
          <w:sz w:val="28"/>
          <w:szCs w:val="28"/>
          <w:u w:val="single"/>
          <w:lang w:val="fr-CA"/>
        </w:rPr>
      </w:pPr>
      <w:r w:rsidRPr="00B3449A"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Conversation 10 </w:t>
      </w:r>
      <w:r>
        <w:rPr>
          <w:rFonts w:ascii="Perpetua" w:hAnsi="Perpetua"/>
          <w:b/>
          <w:bCs/>
          <w:sz w:val="28"/>
          <w:szCs w:val="28"/>
          <w:u w:val="single"/>
          <w:lang w:val="fr-CA"/>
        </w:rPr>
        <w:t>–</w:t>
      </w:r>
      <w:r w:rsidRPr="00B3449A"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 Les</w:t>
      </w:r>
      <w:r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 </w:t>
      </w:r>
      <w:r w:rsidRPr="00B3449A"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Monologues Suivis </w:t>
      </w:r>
      <w:r>
        <w:rPr>
          <w:rFonts w:ascii="Perpetua" w:hAnsi="Perpetua"/>
          <w:b/>
          <w:bCs/>
          <w:sz w:val="28"/>
          <w:szCs w:val="28"/>
          <w:u w:val="single"/>
          <w:lang w:val="fr-CA"/>
        </w:rPr>
        <w:br/>
      </w:r>
    </w:p>
    <w:p w14:paraId="7B07ACEC" w14:textId="77777777" w:rsidR="00B3449A" w:rsidRDefault="00B3449A" w:rsidP="00B3449A">
      <w:pPr>
        <w:rPr>
          <w:rFonts w:ascii="Perpetua" w:hAnsi="Perpetua"/>
          <w:sz w:val="24"/>
          <w:szCs w:val="24"/>
          <w:lang w:val="fr-CA"/>
        </w:rPr>
      </w:pPr>
      <w:r w:rsidRPr="00B3449A">
        <w:rPr>
          <w:rFonts w:ascii="Perpetua" w:hAnsi="Perpetua"/>
          <w:sz w:val="24"/>
          <w:szCs w:val="24"/>
          <w:lang w:val="fr-CA"/>
        </w:rPr>
        <w:t xml:space="preserve">Chaque mercredi vous allez participer dans un monologue suivi avec </w:t>
      </w:r>
      <w:r>
        <w:rPr>
          <w:rFonts w:ascii="Perpetua" w:hAnsi="Perpetua"/>
          <w:sz w:val="24"/>
          <w:szCs w:val="24"/>
          <w:lang w:val="fr-CA"/>
        </w:rPr>
        <w:t>le professeur</w:t>
      </w:r>
      <w:r w:rsidRPr="00B3449A">
        <w:rPr>
          <w:rFonts w:ascii="Perpetua" w:hAnsi="Perpetua"/>
          <w:sz w:val="24"/>
          <w:szCs w:val="24"/>
          <w:lang w:val="fr-CA"/>
        </w:rPr>
        <w:t>. Un monologue suivi veut dire que c’est vous qui allez parler pour la majorité de la durée</w:t>
      </w:r>
      <w:r>
        <w:rPr>
          <w:rFonts w:ascii="Perpetua" w:hAnsi="Perpetua"/>
          <w:sz w:val="24"/>
          <w:szCs w:val="24"/>
          <w:lang w:val="fr-CA"/>
        </w:rPr>
        <w:t xml:space="preserve"> mais le professeur</w:t>
      </w:r>
      <w:r w:rsidRPr="00B3449A">
        <w:rPr>
          <w:rFonts w:ascii="Perpetua" w:hAnsi="Perpetua"/>
          <w:sz w:val="24"/>
          <w:szCs w:val="24"/>
          <w:lang w:val="fr-CA"/>
        </w:rPr>
        <w:t xml:space="preserve"> va vous poser des questions pour vous aider. Le monologue dure de 2-3 minutes et le sujet est choisi au hasard parmi la liste suivante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449A" w14:paraId="3DE67CB7" w14:textId="77777777" w:rsidTr="00B3449A">
        <w:trPr>
          <w:trHeight w:val="64"/>
        </w:trPr>
        <w:tc>
          <w:tcPr>
            <w:tcW w:w="9350" w:type="dxa"/>
            <w:gridSpan w:val="3"/>
            <w:shd w:val="clear" w:color="auto" w:fill="000000" w:themeFill="text1"/>
            <w:vAlign w:val="bottom"/>
          </w:tcPr>
          <w:p w14:paraId="7081C81A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b/>
                <w:bCs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24"/>
                <w:szCs w:val="24"/>
                <w:lang w:val="fr-CA"/>
              </w:rPr>
              <w:t>Les sujets possibles</w:t>
            </w:r>
          </w:p>
        </w:tc>
      </w:tr>
      <w:tr w:rsidR="00B3449A" w:rsidRPr="00B3449A" w14:paraId="2D99EC08" w14:textId="77777777" w:rsidTr="00B3449A">
        <w:tc>
          <w:tcPr>
            <w:tcW w:w="3116" w:type="dxa"/>
            <w:vAlign w:val="bottom"/>
          </w:tcPr>
          <w:p w14:paraId="4E4B4847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L’école</w:t>
            </w:r>
          </w:p>
        </w:tc>
        <w:tc>
          <w:tcPr>
            <w:tcW w:w="3117" w:type="dxa"/>
            <w:vAlign w:val="bottom"/>
          </w:tcPr>
          <w:p w14:paraId="3920B6CB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Les animaux</w:t>
            </w:r>
          </w:p>
        </w:tc>
        <w:tc>
          <w:tcPr>
            <w:tcW w:w="3117" w:type="dxa"/>
            <w:vAlign w:val="bottom"/>
          </w:tcPr>
          <w:p w14:paraId="37114BE9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Les voyages</w:t>
            </w:r>
          </w:p>
        </w:tc>
      </w:tr>
      <w:tr w:rsidR="00B3449A" w:rsidRPr="00B3449A" w14:paraId="0550B871" w14:textId="77777777" w:rsidTr="00B3449A">
        <w:tc>
          <w:tcPr>
            <w:tcW w:w="3116" w:type="dxa"/>
            <w:vAlign w:val="bottom"/>
          </w:tcPr>
          <w:p w14:paraId="0500C634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Internet</w:t>
            </w:r>
          </w:p>
        </w:tc>
        <w:tc>
          <w:tcPr>
            <w:tcW w:w="3117" w:type="dxa"/>
            <w:vAlign w:val="bottom"/>
          </w:tcPr>
          <w:p w14:paraId="09C05D76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Un bon ami</w:t>
            </w:r>
          </w:p>
        </w:tc>
        <w:tc>
          <w:tcPr>
            <w:tcW w:w="3117" w:type="dxa"/>
            <w:vAlign w:val="bottom"/>
          </w:tcPr>
          <w:p w14:paraId="33CE1D8F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La mode</w:t>
            </w:r>
          </w:p>
        </w:tc>
      </w:tr>
      <w:tr w:rsidR="00B3449A" w:rsidRPr="00B3449A" w14:paraId="7F5E9EAF" w14:textId="77777777" w:rsidTr="00B3449A">
        <w:tc>
          <w:tcPr>
            <w:tcW w:w="3116" w:type="dxa"/>
            <w:vAlign w:val="bottom"/>
          </w:tcPr>
          <w:p w14:paraId="04C07117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La nature</w:t>
            </w:r>
          </w:p>
        </w:tc>
        <w:tc>
          <w:tcPr>
            <w:tcW w:w="3117" w:type="dxa"/>
            <w:vAlign w:val="bottom"/>
          </w:tcPr>
          <w:p w14:paraId="65BF2F02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Les sports et loisirs</w:t>
            </w:r>
          </w:p>
        </w:tc>
        <w:tc>
          <w:tcPr>
            <w:tcW w:w="3117" w:type="dxa"/>
            <w:vAlign w:val="bottom"/>
          </w:tcPr>
          <w:p w14:paraId="727B4DA5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La musique</w:t>
            </w:r>
          </w:p>
        </w:tc>
      </w:tr>
      <w:tr w:rsidR="00B3449A" w:rsidRPr="00B3449A" w14:paraId="0934B157" w14:textId="77777777" w:rsidTr="00B3449A">
        <w:tc>
          <w:tcPr>
            <w:tcW w:w="3116" w:type="dxa"/>
            <w:vAlign w:val="bottom"/>
          </w:tcPr>
          <w:p w14:paraId="6BFAA791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L’apprentissage du français</w:t>
            </w:r>
          </w:p>
        </w:tc>
        <w:tc>
          <w:tcPr>
            <w:tcW w:w="3117" w:type="dxa"/>
            <w:vAlign w:val="bottom"/>
          </w:tcPr>
          <w:p w14:paraId="09FB5998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La famille</w:t>
            </w:r>
          </w:p>
        </w:tc>
        <w:tc>
          <w:tcPr>
            <w:tcW w:w="3117" w:type="dxa"/>
            <w:vAlign w:val="bottom"/>
          </w:tcPr>
          <w:p w14:paraId="0AA8CFB3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La nourriture</w:t>
            </w:r>
          </w:p>
        </w:tc>
      </w:tr>
      <w:tr w:rsidR="00B3449A" w:rsidRPr="00B3449A" w14:paraId="1126F4DF" w14:textId="77777777" w:rsidTr="00B3449A">
        <w:tc>
          <w:tcPr>
            <w:tcW w:w="3116" w:type="dxa"/>
            <w:vAlign w:val="bottom"/>
          </w:tcPr>
          <w:p w14:paraId="458409A2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Les livres/films</w:t>
            </w:r>
          </w:p>
        </w:tc>
        <w:tc>
          <w:tcPr>
            <w:tcW w:w="3117" w:type="dxa"/>
            <w:vAlign w:val="bottom"/>
          </w:tcPr>
          <w:p w14:paraId="75725A13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 w:rsidRPr="00B3449A">
              <w:rPr>
                <w:rFonts w:ascii="Perpetua" w:hAnsi="Perpetua"/>
                <w:sz w:val="24"/>
                <w:szCs w:val="24"/>
                <w:lang w:val="fr-CA"/>
              </w:rPr>
              <w:t>Les projets pour l’avenir</w:t>
            </w:r>
          </w:p>
        </w:tc>
        <w:tc>
          <w:tcPr>
            <w:tcW w:w="3117" w:type="dxa"/>
            <w:vAlign w:val="bottom"/>
          </w:tcPr>
          <w:p w14:paraId="3EF67D05" w14:textId="77777777" w:rsidR="00B3449A" w:rsidRPr="00B3449A" w:rsidRDefault="00B3449A" w:rsidP="00B3449A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  <w:lang w:val="fr-CA"/>
              </w:rPr>
            </w:pPr>
            <w:r>
              <w:rPr>
                <w:rFonts w:ascii="Perpetua" w:hAnsi="Perpetua"/>
                <w:sz w:val="24"/>
                <w:szCs w:val="24"/>
                <w:lang w:val="fr-CA"/>
              </w:rPr>
              <w:t>La technologie</w:t>
            </w:r>
          </w:p>
        </w:tc>
      </w:tr>
    </w:tbl>
    <w:p w14:paraId="1E8CD080" w14:textId="77777777" w:rsidR="00B3449A" w:rsidRPr="00B3449A" w:rsidRDefault="00B3449A" w:rsidP="00B3449A">
      <w:pPr>
        <w:rPr>
          <w:rFonts w:ascii="Perpetua" w:hAnsi="Perpetua"/>
          <w:lang w:val="fr-CA"/>
        </w:rPr>
      </w:pPr>
    </w:p>
    <w:p w14:paraId="1B278EE7" w14:textId="77777777" w:rsidR="00B3449A" w:rsidRPr="00B3449A" w:rsidRDefault="00B3449A" w:rsidP="00B3449A">
      <w:pPr>
        <w:rPr>
          <w:rFonts w:ascii="Perpetua" w:hAnsi="Perpetua"/>
          <w:b/>
          <w:bCs/>
          <w:sz w:val="24"/>
          <w:szCs w:val="24"/>
          <w:u w:val="single"/>
          <w:lang w:val="fr-CA"/>
        </w:rPr>
      </w:pPr>
      <w:r w:rsidRPr="00B3449A">
        <w:rPr>
          <w:rFonts w:ascii="Perpetua" w:hAnsi="Perpetua"/>
          <w:b/>
          <w:bCs/>
          <w:sz w:val="24"/>
          <w:szCs w:val="24"/>
          <w:u w:val="single"/>
          <w:lang w:val="fr-CA"/>
        </w:rPr>
        <w:t>La grille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449A" w:rsidRPr="00B3449A" w14:paraId="4000D910" w14:textId="77777777" w:rsidTr="00DA3390">
        <w:tc>
          <w:tcPr>
            <w:tcW w:w="1870" w:type="dxa"/>
          </w:tcPr>
          <w:p w14:paraId="57A1E392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</w:p>
        </w:tc>
        <w:tc>
          <w:tcPr>
            <w:tcW w:w="1870" w:type="dxa"/>
          </w:tcPr>
          <w:p w14:paraId="78A445F5" w14:textId="77777777" w:rsidR="00B3449A" w:rsidRPr="00B3449A" w:rsidRDefault="00B3449A" w:rsidP="00DA3390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4</w:t>
            </w:r>
          </w:p>
        </w:tc>
        <w:tc>
          <w:tcPr>
            <w:tcW w:w="1870" w:type="dxa"/>
          </w:tcPr>
          <w:p w14:paraId="511CB3C0" w14:textId="77777777" w:rsidR="00B3449A" w:rsidRPr="00B3449A" w:rsidRDefault="00B3449A" w:rsidP="00DA3390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3</w:t>
            </w:r>
          </w:p>
        </w:tc>
        <w:tc>
          <w:tcPr>
            <w:tcW w:w="1870" w:type="dxa"/>
          </w:tcPr>
          <w:p w14:paraId="5528AE61" w14:textId="77777777" w:rsidR="00B3449A" w:rsidRPr="00B3449A" w:rsidRDefault="00B3449A" w:rsidP="00DA3390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2</w:t>
            </w:r>
          </w:p>
        </w:tc>
        <w:tc>
          <w:tcPr>
            <w:tcW w:w="1870" w:type="dxa"/>
          </w:tcPr>
          <w:p w14:paraId="14B6B315" w14:textId="77777777" w:rsidR="00B3449A" w:rsidRPr="00B3449A" w:rsidRDefault="00B3449A" w:rsidP="00DA3390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1</w:t>
            </w:r>
          </w:p>
        </w:tc>
      </w:tr>
      <w:tr w:rsidR="00B3449A" w:rsidRPr="00B3449A" w14:paraId="53FA0675" w14:textId="77777777" w:rsidTr="00DA3390">
        <w:tc>
          <w:tcPr>
            <w:tcW w:w="1870" w:type="dxa"/>
          </w:tcPr>
          <w:p w14:paraId="7B9409A2" w14:textId="77777777" w:rsidR="00B3449A" w:rsidRPr="00B3449A" w:rsidRDefault="00B3449A" w:rsidP="00DA3390">
            <w:pP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Grammaire</w:t>
            </w:r>
          </w:p>
        </w:tc>
        <w:tc>
          <w:tcPr>
            <w:tcW w:w="1870" w:type="dxa"/>
          </w:tcPr>
          <w:p w14:paraId="79428F59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sans erreurs de base</w:t>
            </w:r>
          </w:p>
        </w:tc>
        <w:tc>
          <w:tcPr>
            <w:tcW w:w="1870" w:type="dxa"/>
          </w:tcPr>
          <w:p w14:paraId="09824125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avec quelques erreurs de base</w:t>
            </w:r>
          </w:p>
        </w:tc>
        <w:tc>
          <w:tcPr>
            <w:tcW w:w="1870" w:type="dxa"/>
          </w:tcPr>
          <w:p w14:paraId="6509ED00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avec plusieurs erreurs de base</w:t>
            </w:r>
          </w:p>
        </w:tc>
        <w:tc>
          <w:tcPr>
            <w:tcW w:w="1870" w:type="dxa"/>
          </w:tcPr>
          <w:p w14:paraId="48D5FA8E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avec beaucoup d’erreurs de base</w:t>
            </w:r>
          </w:p>
        </w:tc>
      </w:tr>
      <w:tr w:rsidR="00B3449A" w:rsidRPr="00B3449A" w14:paraId="5757604A" w14:textId="77777777" w:rsidTr="00DA3390">
        <w:tc>
          <w:tcPr>
            <w:tcW w:w="1870" w:type="dxa"/>
          </w:tcPr>
          <w:p w14:paraId="39D68D6C" w14:textId="77777777" w:rsidR="00B3449A" w:rsidRPr="00B3449A" w:rsidRDefault="00B3449A" w:rsidP="00DA3390">
            <w:pP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Vocabulaire</w:t>
            </w:r>
          </w:p>
        </w:tc>
        <w:tc>
          <w:tcPr>
            <w:tcW w:w="1870" w:type="dxa"/>
          </w:tcPr>
          <w:p w14:paraId="76FC36AE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 xml:space="preserve">L’élève emploie un vocabulaire approprié pour le sujet. </w:t>
            </w:r>
          </w:p>
          <w:p w14:paraId="44CAB83B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Pas d’anglais</w:t>
            </w:r>
          </w:p>
          <w:p w14:paraId="300A9590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Un mot ou une expression de vocabulaire est inclu</w:t>
            </w:r>
            <w:r>
              <w:rPr>
                <w:rFonts w:ascii="Perpetua" w:hAnsi="Perpetua"/>
                <w:sz w:val="18"/>
                <w:szCs w:val="18"/>
                <w:lang w:val="fr-CA"/>
              </w:rPr>
              <w:t>s</w:t>
            </w: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.</w:t>
            </w:r>
          </w:p>
        </w:tc>
        <w:tc>
          <w:tcPr>
            <w:tcW w:w="1870" w:type="dxa"/>
          </w:tcPr>
          <w:p w14:paraId="21187EE5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 xml:space="preserve">L’élève emploie un vocabulaire approprié pour le sujet. </w:t>
            </w:r>
          </w:p>
          <w:p w14:paraId="43C8D8E7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Pas d’anglais.</w:t>
            </w:r>
          </w:p>
          <w:p w14:paraId="0B35FB39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</w:p>
        </w:tc>
        <w:tc>
          <w:tcPr>
            <w:tcW w:w="1870" w:type="dxa"/>
          </w:tcPr>
          <w:p w14:paraId="30F3835D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 xml:space="preserve">L’élève emploie un vocabulaire approprié pour le sujet. </w:t>
            </w:r>
          </w:p>
          <w:p w14:paraId="09034F78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Quelques mots en anglais.</w:t>
            </w:r>
          </w:p>
        </w:tc>
        <w:tc>
          <w:tcPr>
            <w:tcW w:w="1870" w:type="dxa"/>
          </w:tcPr>
          <w:p w14:paraId="5F0C6969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a de la difficulté à s’exprimer.</w:t>
            </w:r>
          </w:p>
          <w:p w14:paraId="7A34D189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Plusieurs mots on anglais.</w:t>
            </w:r>
          </w:p>
        </w:tc>
      </w:tr>
      <w:tr w:rsidR="00B3449A" w:rsidRPr="00B3449A" w14:paraId="311CA903" w14:textId="77777777" w:rsidTr="00DA3390">
        <w:tc>
          <w:tcPr>
            <w:tcW w:w="1870" w:type="dxa"/>
          </w:tcPr>
          <w:p w14:paraId="4E15E9E6" w14:textId="77777777" w:rsidR="00B3449A" w:rsidRPr="00B3449A" w:rsidRDefault="00B3449A" w:rsidP="00DA3390">
            <w:pP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>Prononciation</w:t>
            </w:r>
          </w:p>
        </w:tc>
        <w:tc>
          <w:tcPr>
            <w:tcW w:w="1870" w:type="dxa"/>
          </w:tcPr>
          <w:p w14:paraId="39BAEF6D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avec une bonne prononciation</w:t>
            </w:r>
          </w:p>
          <w:p w14:paraId="537FFE64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Aucune erreur de clarté</w:t>
            </w:r>
          </w:p>
          <w:p w14:paraId="704F1B57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 xml:space="preserve">Sans hésitations </w:t>
            </w:r>
          </w:p>
        </w:tc>
        <w:tc>
          <w:tcPr>
            <w:tcW w:w="1870" w:type="dxa"/>
          </w:tcPr>
          <w:p w14:paraId="25D8D0B8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avec une bonne prononciation</w:t>
            </w:r>
          </w:p>
          <w:p w14:paraId="09CBDCEB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Très peu d’erreurs de clarté</w:t>
            </w:r>
          </w:p>
          <w:p w14:paraId="6CE6CE14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Quelques hésitations</w:t>
            </w:r>
          </w:p>
        </w:tc>
        <w:tc>
          <w:tcPr>
            <w:tcW w:w="1870" w:type="dxa"/>
          </w:tcPr>
          <w:p w14:paraId="6D7CC3A2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Quelques erreurs de prononciation</w:t>
            </w:r>
          </w:p>
          <w:p w14:paraId="666A0D1E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Plusieurs erreurs de clarté</w:t>
            </w:r>
          </w:p>
          <w:p w14:paraId="0D862E10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Plusieurs hésitations</w:t>
            </w:r>
          </w:p>
        </w:tc>
        <w:tc>
          <w:tcPr>
            <w:tcW w:w="1870" w:type="dxa"/>
          </w:tcPr>
          <w:p w14:paraId="6FA1E072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fait beaucoup d’erreurs de prononciation</w:t>
            </w:r>
          </w:p>
          <w:p w14:paraId="302C5DF1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 xml:space="preserve">Les erreurs de clarté et hésitation qui causent des problèmes de compréhension </w:t>
            </w:r>
          </w:p>
        </w:tc>
      </w:tr>
      <w:tr w:rsidR="00B3449A" w:rsidRPr="00B3449A" w14:paraId="769FC1B0" w14:textId="77777777" w:rsidTr="00DA3390">
        <w:tc>
          <w:tcPr>
            <w:tcW w:w="1870" w:type="dxa"/>
          </w:tcPr>
          <w:p w14:paraId="338CB65A" w14:textId="77777777" w:rsidR="00B3449A" w:rsidRPr="00B3449A" w:rsidRDefault="00B3449A" w:rsidP="00DA3390">
            <w:pPr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b/>
                <w:bCs/>
                <w:sz w:val="18"/>
                <w:szCs w:val="18"/>
                <w:lang w:val="fr-CA"/>
              </w:rPr>
              <w:t xml:space="preserve">Fond </w:t>
            </w:r>
          </w:p>
        </w:tc>
        <w:tc>
          <w:tcPr>
            <w:tcW w:w="1870" w:type="dxa"/>
          </w:tcPr>
          <w:p w14:paraId="383C6181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de son sujet pour 2-3 minutes sans difficulté avec beaucoup de détails</w:t>
            </w:r>
          </w:p>
        </w:tc>
        <w:tc>
          <w:tcPr>
            <w:tcW w:w="1870" w:type="dxa"/>
          </w:tcPr>
          <w:p w14:paraId="7F755E49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>L’élève parle de son sujet pour 2-3 minutes sans difficulté mais un peu sur la surface</w:t>
            </w:r>
          </w:p>
        </w:tc>
        <w:tc>
          <w:tcPr>
            <w:tcW w:w="1870" w:type="dxa"/>
          </w:tcPr>
          <w:p w14:paraId="54AF2136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 xml:space="preserve">L’élève parle de son sujet pour 2-3 minutes mais avec beaucoup d’exhortation du prof </w:t>
            </w:r>
          </w:p>
        </w:tc>
        <w:tc>
          <w:tcPr>
            <w:tcW w:w="1870" w:type="dxa"/>
          </w:tcPr>
          <w:p w14:paraId="5D99F6D9" w14:textId="77777777" w:rsidR="00B3449A" w:rsidRPr="00B3449A" w:rsidRDefault="00B3449A" w:rsidP="00DA3390">
            <w:pPr>
              <w:rPr>
                <w:rFonts w:ascii="Perpetua" w:hAnsi="Perpetua"/>
                <w:sz w:val="18"/>
                <w:szCs w:val="18"/>
                <w:lang w:val="fr-CA"/>
              </w:rPr>
            </w:pPr>
            <w:r w:rsidRPr="00B3449A">
              <w:rPr>
                <w:rFonts w:ascii="Perpetua" w:hAnsi="Perpetua"/>
                <w:sz w:val="18"/>
                <w:szCs w:val="18"/>
                <w:lang w:val="fr-CA"/>
              </w:rPr>
              <w:t xml:space="preserve">L’élève ne peut pas parler de son sujet pour 2-3 minutes </w:t>
            </w:r>
          </w:p>
        </w:tc>
      </w:tr>
    </w:tbl>
    <w:p w14:paraId="69D67B7D" w14:textId="77777777" w:rsidR="00D93B48" w:rsidRPr="00B3449A" w:rsidRDefault="00644585">
      <w:pPr>
        <w:rPr>
          <w:rFonts w:ascii="Perpetua" w:hAnsi="Perpetua"/>
        </w:rPr>
      </w:pPr>
    </w:p>
    <w:sectPr w:rsidR="00D93B48" w:rsidRPr="00B3449A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9A"/>
    <w:rsid w:val="00537CF5"/>
    <w:rsid w:val="00644585"/>
    <w:rsid w:val="00B3449A"/>
    <w:rsid w:val="00EC2AC0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2286A"/>
  <w15:chartTrackingRefBased/>
  <w15:docId w15:val="{5E2659C6-60D4-C24C-BD1C-C404121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49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2022-09-27T15:42:00Z</dcterms:created>
  <dcterms:modified xsi:type="dcterms:W3CDTF">2022-09-27T15:42:00Z</dcterms:modified>
</cp:coreProperties>
</file>