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8E20" w14:textId="77777777" w:rsidR="004F7B5D" w:rsidRPr="004F7B5D" w:rsidRDefault="004F7B5D" w:rsidP="004F7B5D">
      <w:pPr>
        <w:jc w:val="center"/>
        <w:rPr>
          <w:rFonts w:eastAsia="Times New Roman" w:cs="Calibri"/>
          <w:u w:val="single"/>
          <w:lang w:val="fr-FR"/>
        </w:rPr>
      </w:pPr>
      <w:r w:rsidRPr="004F7B5D">
        <w:rPr>
          <w:rFonts w:eastAsia="Times New Roman" w:cs="Calibri"/>
          <w:u w:val="single"/>
          <w:lang w:val="fr-FR"/>
        </w:rPr>
        <w:t>Français 12 – Notes – Le pronom relatif</w:t>
      </w:r>
    </w:p>
    <w:p w14:paraId="3E09BF17" w14:textId="3383F6E5" w:rsidR="004F7B5D" w:rsidRPr="004F7B5D" w:rsidRDefault="004F7B5D" w:rsidP="004F7B5D">
      <w:pPr>
        <w:jc w:val="center"/>
        <w:rPr>
          <w:rFonts w:eastAsia="Times New Roman" w:cs="Calibri"/>
          <w:i/>
          <w:iCs/>
          <w:u w:val="single"/>
          <w:lang w:val="fr-FR"/>
        </w:rPr>
      </w:pPr>
      <w:r w:rsidRPr="004F7B5D">
        <w:rPr>
          <w:rFonts w:eastAsia="Times New Roman" w:cs="Calibri"/>
          <w:i/>
          <w:iCs/>
          <w:lang w:val="fr-FR"/>
        </w:rPr>
        <w:t>Ce qui / Ce que / Ce dont / Ce à quoi</w:t>
      </w:r>
    </w:p>
    <w:p w14:paraId="16F4B2F2" w14:textId="659040C8" w:rsidR="004F7B5D" w:rsidRPr="004F7B5D" w:rsidRDefault="004F7B5D" w:rsidP="004F7B5D">
      <w:pPr>
        <w:rPr>
          <w:rFonts w:eastAsia="Times New Roman" w:cs="Calibri"/>
          <w:lang w:val="fr-FR"/>
        </w:rPr>
      </w:pPr>
      <w:r w:rsidRPr="004F7B5D">
        <w:rPr>
          <w:rFonts w:eastAsia="Times New Roman" w:cs="Calibri"/>
          <w:lang w:val="fr-FR"/>
        </w:rPr>
        <w:t> </w:t>
      </w:r>
    </w:p>
    <w:p w14:paraId="6A122CB8" w14:textId="564A768B" w:rsidR="004F7B5D" w:rsidRPr="004F7B5D" w:rsidRDefault="004F7B5D" w:rsidP="004F7B5D">
      <w:pPr>
        <w:rPr>
          <w:rFonts w:eastAsia="Times New Roman" w:cs="Calibri"/>
          <w:lang w:val="fr-FR"/>
        </w:rPr>
      </w:pPr>
    </w:p>
    <w:p w14:paraId="01B29B53" w14:textId="0E17CC9B" w:rsidR="004F7B5D" w:rsidRPr="004F7B5D" w:rsidRDefault="004F7B5D" w:rsidP="004F7B5D">
      <w:pPr>
        <w:rPr>
          <w:rFonts w:eastAsia="Times New Roman" w:cs="Calibri"/>
          <w:lang w:val="fr-FR"/>
        </w:rPr>
      </w:pPr>
      <w:r w:rsidRPr="004F7B5D">
        <w:rPr>
          <w:rFonts w:eastAsia="Times New Roman" w:cs="Calibri"/>
          <w:lang w:val="fr-FR"/>
        </w:rPr>
        <w:t xml:space="preserve">Les pronoms relatifs </w:t>
      </w:r>
      <w:r w:rsidRPr="004F7B5D">
        <w:rPr>
          <w:rFonts w:eastAsia="Times New Roman" w:cs="Calibri"/>
          <w:i/>
          <w:iCs/>
          <w:lang w:val="fr-FR"/>
        </w:rPr>
        <w:t xml:space="preserve">ce qui </w:t>
      </w:r>
      <w:r w:rsidRPr="004F7B5D">
        <w:rPr>
          <w:rFonts w:eastAsia="Times New Roman" w:cs="Calibri"/>
          <w:lang w:val="fr-FR"/>
        </w:rPr>
        <w:t xml:space="preserve">/ </w:t>
      </w:r>
      <w:r w:rsidRPr="004F7B5D">
        <w:rPr>
          <w:rFonts w:eastAsia="Times New Roman" w:cs="Calibri"/>
          <w:i/>
          <w:iCs/>
          <w:lang w:val="fr-FR"/>
        </w:rPr>
        <w:t>ce que</w:t>
      </w:r>
      <w:r w:rsidRPr="004F7B5D">
        <w:rPr>
          <w:rFonts w:eastAsia="Times New Roman" w:cs="Calibri"/>
          <w:lang w:val="fr-FR"/>
        </w:rPr>
        <w:t xml:space="preserve"> / </w:t>
      </w:r>
      <w:r w:rsidRPr="004F7B5D">
        <w:rPr>
          <w:rFonts w:eastAsia="Times New Roman" w:cs="Calibri"/>
          <w:i/>
          <w:iCs/>
          <w:lang w:val="fr-FR"/>
        </w:rPr>
        <w:t>ce dont</w:t>
      </w:r>
      <w:r w:rsidRPr="004F7B5D">
        <w:rPr>
          <w:rFonts w:eastAsia="Times New Roman" w:cs="Calibri"/>
          <w:lang w:val="fr-FR"/>
        </w:rPr>
        <w:t xml:space="preserve"> / </w:t>
      </w:r>
      <w:r w:rsidRPr="004F7B5D">
        <w:rPr>
          <w:rFonts w:eastAsia="Times New Roman" w:cs="Calibri"/>
          <w:i/>
          <w:iCs/>
          <w:lang w:val="fr-FR"/>
        </w:rPr>
        <w:t xml:space="preserve">ce à quoi </w:t>
      </w:r>
      <w:r w:rsidRPr="004F7B5D">
        <w:rPr>
          <w:rFonts w:eastAsia="Times New Roman" w:cs="Calibri"/>
          <w:lang w:val="fr-FR"/>
        </w:rPr>
        <w:t xml:space="preserve">remplacent un antécédent mais l’antécédent peut être une chose inconnue ou une idée complète. Ils ont généralement les mêmes fonctions que le pronom relatif simple (ex : </w:t>
      </w:r>
      <w:r w:rsidRPr="004F7B5D">
        <w:rPr>
          <w:rFonts w:eastAsia="Times New Roman" w:cs="Calibri"/>
          <w:i/>
          <w:iCs/>
          <w:lang w:val="fr-FR"/>
        </w:rPr>
        <w:t>ce qui</w:t>
      </w:r>
      <w:r w:rsidRPr="004F7B5D">
        <w:rPr>
          <w:rFonts w:eastAsia="Times New Roman" w:cs="Calibri"/>
          <w:lang w:val="fr-FR"/>
        </w:rPr>
        <w:t xml:space="preserve"> sera sujet du verbe et </w:t>
      </w:r>
      <w:r w:rsidRPr="004F7B5D">
        <w:rPr>
          <w:rFonts w:eastAsia="Times New Roman" w:cs="Calibri"/>
          <w:i/>
          <w:iCs/>
          <w:lang w:val="fr-FR"/>
        </w:rPr>
        <w:t>ce que</w:t>
      </w:r>
      <w:r w:rsidRPr="004F7B5D">
        <w:rPr>
          <w:rFonts w:eastAsia="Times New Roman" w:cs="Calibri"/>
          <w:lang w:val="fr-FR"/>
        </w:rPr>
        <w:t xml:space="preserve"> sera complément direct du verbe).</w:t>
      </w:r>
    </w:p>
    <w:p w14:paraId="274F67AA" w14:textId="2C48B8D4" w:rsidR="004F7B5D" w:rsidRPr="004F7B5D" w:rsidRDefault="004F7B5D" w:rsidP="004F7B5D">
      <w:pPr>
        <w:rPr>
          <w:rFonts w:eastAsia="Times New Roman" w:cs="Calibri"/>
          <w:lang w:val="fr-FR"/>
        </w:rPr>
      </w:pPr>
      <w:r w:rsidRPr="004F7B5D">
        <w:rPr>
          <w:rFonts w:eastAsia="Times New Roman" w:cs="Calibri"/>
          <w:lang w:val="fr-FR"/>
        </w:rPr>
        <w:t> </w:t>
      </w:r>
    </w:p>
    <w:p w14:paraId="7CE76F35" w14:textId="77777777" w:rsidR="004F7B5D" w:rsidRPr="004F7B5D" w:rsidRDefault="004F7B5D" w:rsidP="004F7B5D">
      <w:pPr>
        <w:rPr>
          <w:rFonts w:eastAsia="Times New Roman" w:cs="Calibri"/>
          <w:lang w:val="fr-FR"/>
        </w:rPr>
      </w:pPr>
    </w:p>
    <w:p w14:paraId="3B58B3AA" w14:textId="24D1FFCF" w:rsidR="004F7B5D" w:rsidRPr="004F7B5D" w:rsidRDefault="004F7B5D" w:rsidP="004F7B5D">
      <w:pPr>
        <w:rPr>
          <w:rFonts w:eastAsia="Times New Roman" w:cs="Calibri"/>
          <w:lang w:val="fr-FR"/>
        </w:rPr>
      </w:pPr>
      <w:r w:rsidRPr="004F7B5D">
        <w:rPr>
          <w:rFonts w:eastAsia="Times New Roman" w:cs="Calibri"/>
          <w:lang w:val="fr-FR"/>
        </w:rPr>
        <w:t xml:space="preserve">Ils s'utilisent dans deux situations : </w:t>
      </w:r>
    </w:p>
    <w:p w14:paraId="54F161B7" w14:textId="77777777" w:rsidR="004F7B5D" w:rsidRPr="004F7B5D" w:rsidRDefault="004F7B5D" w:rsidP="004F7B5D">
      <w:pPr>
        <w:rPr>
          <w:rFonts w:eastAsia="Times New Roman" w:cs="Calibri"/>
          <w:lang w:val="fr-FR"/>
        </w:rPr>
      </w:pPr>
      <w:r w:rsidRPr="004F7B5D">
        <w:rPr>
          <w:rFonts w:eastAsia="Times New Roman" w:cs="Calibri"/>
          <w:lang w:val="fr-FR"/>
        </w:rPr>
        <w:t> </w:t>
      </w:r>
    </w:p>
    <w:p w14:paraId="2951ABA5" w14:textId="77777777" w:rsidR="004F7B5D" w:rsidRPr="004F7B5D" w:rsidRDefault="004F7B5D" w:rsidP="004F7B5D">
      <w:pPr>
        <w:numPr>
          <w:ilvl w:val="0"/>
          <w:numId w:val="1"/>
        </w:numPr>
        <w:ind w:left="1260"/>
        <w:textAlignment w:val="center"/>
        <w:rPr>
          <w:rFonts w:eastAsia="Times New Roman" w:cs="Calibri"/>
          <w:i/>
          <w:iCs/>
          <w:lang w:val="fr-FR"/>
        </w:rPr>
      </w:pPr>
      <w:r w:rsidRPr="004F7B5D">
        <w:rPr>
          <w:rFonts w:eastAsia="Times New Roman" w:cs="Calibri"/>
          <w:b/>
          <w:bCs/>
          <w:lang w:val="fr-FR"/>
        </w:rPr>
        <w:t xml:space="preserve">Lorsque l'antécédent n'est pas précisé ; </w:t>
      </w:r>
      <w:r w:rsidRPr="004F7B5D">
        <w:rPr>
          <w:rFonts w:eastAsia="Times New Roman" w:cs="Calibri"/>
          <w:b/>
          <w:bCs/>
          <w:i/>
          <w:iCs/>
          <w:u w:val="single"/>
          <w:lang w:val="fr-FR"/>
        </w:rPr>
        <w:t>ce</w:t>
      </w:r>
      <w:r w:rsidRPr="004F7B5D">
        <w:rPr>
          <w:rFonts w:eastAsia="Times New Roman" w:cs="Calibri"/>
          <w:b/>
          <w:bCs/>
          <w:lang w:val="fr-FR"/>
        </w:rPr>
        <w:t xml:space="preserve"> signifie la chose inconnue </w:t>
      </w:r>
      <w:r w:rsidRPr="004F7B5D">
        <w:rPr>
          <w:rFonts w:eastAsia="Times New Roman" w:cs="Calibri"/>
          <w:b/>
          <w:bCs/>
          <w:lang w:val="fr-FR"/>
        </w:rPr>
        <w:br/>
      </w:r>
      <w:r w:rsidRPr="004F7B5D">
        <w:rPr>
          <w:rFonts w:eastAsia="Times New Roman" w:cs="Calibri"/>
          <w:lang w:val="fr-FR"/>
        </w:rPr>
        <w:br/>
      </w:r>
      <w:r w:rsidRPr="004F7B5D">
        <w:rPr>
          <w:rFonts w:eastAsia="Times New Roman" w:cs="Calibri"/>
          <w:i/>
          <w:iCs/>
          <w:lang w:val="fr-FR"/>
        </w:rPr>
        <w:t xml:space="preserve">Dis-moi </w:t>
      </w:r>
      <w:r w:rsidRPr="004F7B5D">
        <w:rPr>
          <w:rFonts w:eastAsia="Times New Roman" w:cs="Calibri"/>
          <w:b/>
          <w:bCs/>
          <w:i/>
          <w:iCs/>
          <w:lang w:val="fr-FR"/>
        </w:rPr>
        <w:t>ce qui</w:t>
      </w:r>
      <w:r w:rsidRPr="004F7B5D">
        <w:rPr>
          <w:rFonts w:eastAsia="Times New Roman" w:cs="Calibri"/>
          <w:i/>
          <w:iCs/>
          <w:lang w:val="fr-FR"/>
        </w:rPr>
        <w:t xml:space="preserve"> s'est passé. (Sujet)</w:t>
      </w:r>
      <w:r w:rsidRPr="004F7B5D">
        <w:rPr>
          <w:rFonts w:eastAsia="Times New Roman" w:cs="Calibri"/>
          <w:i/>
          <w:iCs/>
          <w:lang w:val="fr-FR"/>
        </w:rPr>
        <w:br/>
        <w:t xml:space="preserve">Dis-moi </w:t>
      </w:r>
      <w:r w:rsidRPr="004F7B5D">
        <w:rPr>
          <w:rFonts w:eastAsia="Times New Roman" w:cs="Calibri"/>
          <w:b/>
          <w:bCs/>
          <w:i/>
          <w:iCs/>
          <w:lang w:val="fr-FR"/>
        </w:rPr>
        <w:t>ce que</w:t>
      </w:r>
      <w:r w:rsidRPr="004F7B5D">
        <w:rPr>
          <w:rFonts w:eastAsia="Times New Roman" w:cs="Calibri"/>
          <w:i/>
          <w:iCs/>
          <w:lang w:val="fr-FR"/>
        </w:rPr>
        <w:t xml:space="preserve"> tu veux. (COD)</w:t>
      </w:r>
      <w:r w:rsidRPr="004F7B5D">
        <w:rPr>
          <w:rFonts w:eastAsia="Times New Roman" w:cs="Calibri"/>
          <w:i/>
          <w:iCs/>
          <w:lang w:val="fr-FR"/>
        </w:rPr>
        <w:br/>
      </w:r>
      <w:r w:rsidRPr="004F7B5D">
        <w:rPr>
          <w:rFonts w:eastAsia="Times New Roman" w:cs="Calibri"/>
          <w:b/>
          <w:bCs/>
          <w:i/>
          <w:iCs/>
          <w:lang w:val="fr-FR"/>
        </w:rPr>
        <w:t>Ce dont</w:t>
      </w:r>
      <w:r w:rsidRPr="004F7B5D">
        <w:rPr>
          <w:rFonts w:eastAsia="Times New Roman" w:cs="Calibri"/>
          <w:i/>
          <w:iCs/>
          <w:lang w:val="fr-FR"/>
        </w:rPr>
        <w:t xml:space="preserve"> tu me parles ne m'intéresse pas. (COI - parler de qqch)</w:t>
      </w:r>
    </w:p>
    <w:p w14:paraId="387FEF9E" w14:textId="4DF77509" w:rsidR="004F7B5D" w:rsidRPr="004F7B5D" w:rsidRDefault="004F7B5D" w:rsidP="004F7B5D">
      <w:pPr>
        <w:ind w:left="1260"/>
        <w:textAlignment w:val="center"/>
        <w:rPr>
          <w:rFonts w:eastAsia="Times New Roman" w:cs="Calibri"/>
          <w:i/>
          <w:iCs/>
          <w:lang w:val="fr-FR"/>
        </w:rPr>
      </w:pPr>
      <w:r w:rsidRPr="004F7B5D">
        <w:rPr>
          <w:rFonts w:eastAsia="Times New Roman" w:cs="Calibri"/>
          <w:b/>
          <w:bCs/>
          <w:i/>
          <w:iCs/>
          <w:lang w:val="fr-FR"/>
        </w:rPr>
        <w:t>Ce à quoi</w:t>
      </w:r>
      <w:r w:rsidRPr="004F7B5D">
        <w:rPr>
          <w:rFonts w:eastAsia="Times New Roman" w:cs="Calibri"/>
          <w:i/>
          <w:iCs/>
          <w:lang w:val="fr-FR"/>
        </w:rPr>
        <w:t xml:space="preserve"> tu penses à l'air compliqué. (COI - penser à qqch)</w:t>
      </w:r>
    </w:p>
    <w:p w14:paraId="1F184BDB" w14:textId="77777777" w:rsidR="004F7B5D" w:rsidRPr="004F7B5D" w:rsidRDefault="004F7B5D" w:rsidP="004F7B5D">
      <w:pPr>
        <w:ind w:left="540"/>
        <w:rPr>
          <w:rFonts w:eastAsia="Times New Roman" w:cs="Calibri"/>
          <w:lang w:val="fr-FR"/>
        </w:rPr>
      </w:pPr>
      <w:r w:rsidRPr="004F7B5D">
        <w:rPr>
          <w:rFonts w:eastAsia="Times New Roman" w:cs="Calibri"/>
          <w:lang w:val="fr-FR"/>
        </w:rPr>
        <w:t> </w:t>
      </w:r>
    </w:p>
    <w:p w14:paraId="3028BA80" w14:textId="10DD1560" w:rsidR="004F7B5D" w:rsidRPr="004F7B5D" w:rsidRDefault="004F7B5D" w:rsidP="004F7B5D">
      <w:pPr>
        <w:numPr>
          <w:ilvl w:val="0"/>
          <w:numId w:val="2"/>
        </w:numPr>
        <w:ind w:left="1260"/>
        <w:textAlignment w:val="center"/>
        <w:rPr>
          <w:rFonts w:eastAsia="Times New Roman" w:cs="Calibri"/>
          <w:i/>
          <w:iCs/>
          <w:lang w:val="fr-FR"/>
        </w:rPr>
      </w:pPr>
      <w:r w:rsidRPr="004F7B5D">
        <w:rPr>
          <w:rFonts w:eastAsia="Times New Roman" w:cs="Calibri"/>
          <w:b/>
          <w:bCs/>
          <w:lang w:val="fr-FR"/>
        </w:rPr>
        <w:t>Lorsque l'antécédent est une idée complète ; CE signifie l'idée ; souvent précédé d'une virgule</w:t>
      </w:r>
      <w:r w:rsidRPr="004F7B5D">
        <w:rPr>
          <w:rFonts w:eastAsia="Times New Roman" w:cs="Calibri"/>
          <w:b/>
          <w:bCs/>
          <w:lang w:val="fr-FR"/>
        </w:rPr>
        <w:br/>
      </w:r>
      <w:r w:rsidRPr="004F7B5D">
        <w:rPr>
          <w:rFonts w:eastAsia="Times New Roman" w:cs="Calibri"/>
          <w:lang w:val="fr-FR"/>
        </w:rPr>
        <w:br/>
      </w:r>
      <w:r w:rsidRPr="004F7B5D">
        <w:rPr>
          <w:rFonts w:eastAsia="Times New Roman" w:cs="Calibri"/>
          <w:i/>
          <w:iCs/>
          <w:lang w:val="fr-FR"/>
        </w:rPr>
        <w:t xml:space="preserve">J'ai bien dormi, </w:t>
      </w:r>
      <w:r w:rsidRPr="004F7B5D">
        <w:rPr>
          <w:rFonts w:eastAsia="Times New Roman" w:cs="Calibri"/>
          <w:b/>
          <w:bCs/>
          <w:i/>
          <w:iCs/>
          <w:lang w:val="fr-FR"/>
        </w:rPr>
        <w:t>ce qui</w:t>
      </w:r>
      <w:r w:rsidRPr="004F7B5D">
        <w:rPr>
          <w:rFonts w:eastAsia="Times New Roman" w:cs="Calibri"/>
          <w:i/>
          <w:iCs/>
          <w:lang w:val="fr-FR"/>
        </w:rPr>
        <w:t xml:space="preserve"> est très rare.</w:t>
      </w:r>
      <w:r w:rsidRPr="004F7B5D">
        <w:rPr>
          <w:rFonts w:eastAsia="Times New Roman" w:cs="Calibri"/>
          <w:i/>
          <w:iCs/>
          <w:lang w:val="fr-FR"/>
        </w:rPr>
        <w:br/>
        <w:t xml:space="preserve">Tu as bien réussi, </w:t>
      </w:r>
      <w:r w:rsidRPr="004F7B5D">
        <w:rPr>
          <w:rFonts w:eastAsia="Times New Roman" w:cs="Calibri"/>
          <w:b/>
          <w:bCs/>
          <w:i/>
          <w:iCs/>
          <w:lang w:val="fr-FR"/>
        </w:rPr>
        <w:t>ce que</w:t>
      </w:r>
      <w:r w:rsidRPr="004F7B5D">
        <w:rPr>
          <w:rFonts w:eastAsia="Times New Roman" w:cs="Calibri"/>
          <w:i/>
          <w:iCs/>
          <w:lang w:val="fr-FR"/>
        </w:rPr>
        <w:t xml:space="preserve"> j'avais imaginé.</w:t>
      </w:r>
      <w:r w:rsidRPr="004F7B5D">
        <w:rPr>
          <w:rFonts w:eastAsia="Times New Roman" w:cs="Calibri"/>
          <w:i/>
          <w:iCs/>
          <w:lang w:val="fr-FR"/>
        </w:rPr>
        <w:br/>
        <w:t xml:space="preserve">J'ai gagné une bourse, </w:t>
      </w:r>
      <w:r w:rsidRPr="004F7B5D">
        <w:rPr>
          <w:rFonts w:eastAsia="Times New Roman" w:cs="Calibri"/>
          <w:b/>
          <w:bCs/>
          <w:i/>
          <w:iCs/>
          <w:lang w:val="fr-FR"/>
        </w:rPr>
        <w:t>ce dont</w:t>
      </w:r>
      <w:r w:rsidRPr="004F7B5D">
        <w:rPr>
          <w:rFonts w:eastAsia="Times New Roman" w:cs="Calibri"/>
          <w:i/>
          <w:iCs/>
          <w:lang w:val="fr-FR"/>
        </w:rPr>
        <w:t xml:space="preserve"> je suis très fier.</w:t>
      </w:r>
      <w:r w:rsidRPr="004F7B5D">
        <w:rPr>
          <w:rFonts w:eastAsia="Times New Roman" w:cs="Calibri"/>
          <w:i/>
          <w:iCs/>
          <w:lang w:val="fr-FR"/>
        </w:rPr>
        <w:br/>
        <w:t xml:space="preserve">Il a reçu l'emploi, </w:t>
      </w:r>
      <w:r w:rsidRPr="004F7B5D">
        <w:rPr>
          <w:rFonts w:eastAsia="Times New Roman" w:cs="Calibri"/>
          <w:b/>
          <w:bCs/>
          <w:i/>
          <w:iCs/>
          <w:lang w:val="fr-FR"/>
        </w:rPr>
        <w:t>ce à quoi</w:t>
      </w:r>
      <w:r w:rsidRPr="004F7B5D">
        <w:rPr>
          <w:rFonts w:eastAsia="Times New Roman" w:cs="Calibri"/>
          <w:i/>
          <w:iCs/>
          <w:lang w:val="fr-FR"/>
        </w:rPr>
        <w:t xml:space="preserve"> il s'attendait</w:t>
      </w:r>
      <w:r w:rsidRPr="004F7B5D">
        <w:rPr>
          <w:rFonts w:eastAsia="Times New Roman" w:cs="Calibri"/>
          <w:i/>
          <w:iCs/>
          <w:lang w:val="fr-FR"/>
        </w:rPr>
        <w:t>.</w:t>
      </w:r>
    </w:p>
    <w:p w14:paraId="0FECF76F" w14:textId="1DC4D3FA" w:rsidR="004F7B5D" w:rsidRPr="004F7B5D" w:rsidRDefault="004F7B5D" w:rsidP="004F7B5D">
      <w:pPr>
        <w:textAlignment w:val="center"/>
        <w:rPr>
          <w:rFonts w:eastAsia="Times New Roman" w:cs="Calibri"/>
          <w:lang w:val="fr-FR"/>
        </w:rPr>
      </w:pPr>
      <w:r w:rsidRPr="004F7B5D">
        <w:rPr>
          <w:rFonts w:eastAsia="Times New Roman" w:cs="Calibri"/>
          <w:i/>
          <w:iCs/>
          <w:lang w:val="fr-FR"/>
        </w:rPr>
        <w:br/>
      </w:r>
    </w:p>
    <w:p w14:paraId="127E0589" w14:textId="77777777" w:rsidR="004F7B5D" w:rsidRPr="004F7B5D" w:rsidRDefault="004F7B5D" w:rsidP="004F7B5D">
      <w:pPr>
        <w:ind w:left="900"/>
        <w:textAlignment w:val="center"/>
        <w:rPr>
          <w:rFonts w:eastAsia="Times New Roman" w:cs="Calibri"/>
          <w:lang w:val="fr-FR"/>
        </w:rPr>
      </w:pPr>
      <w:r w:rsidRPr="004F7B5D">
        <w:rPr>
          <w:rFonts w:eastAsia="Times New Roman" w:cs="Calibri"/>
          <w:color w:val="FF0000"/>
          <w:lang w:val="fr-FR"/>
        </w:rPr>
        <w:t xml:space="preserve">NB : Ces pronoms relatifs ne remplacent pas une personne ; pour une personne, on dirait plus </w:t>
      </w:r>
      <w:r w:rsidRPr="004F7B5D">
        <w:rPr>
          <w:rFonts w:eastAsia="Times New Roman" w:cs="Calibri"/>
          <w:i/>
          <w:iCs/>
          <w:color w:val="FF0000"/>
          <w:lang w:val="fr-FR"/>
        </w:rPr>
        <w:t>celui qui, celle que, etc.</w:t>
      </w:r>
      <w:r w:rsidRPr="004F7B5D">
        <w:rPr>
          <w:rFonts w:eastAsia="Times New Roman" w:cs="Calibri"/>
          <w:i/>
          <w:iCs/>
          <w:color w:val="FF0000"/>
          <w:lang w:val="fr-FR"/>
        </w:rPr>
        <w:br/>
      </w:r>
    </w:p>
    <w:p w14:paraId="0222C0AB" w14:textId="64E9AC68" w:rsidR="004F7B5D" w:rsidRPr="004F7B5D" w:rsidRDefault="004F7B5D" w:rsidP="004F7B5D">
      <w:pPr>
        <w:ind w:left="900"/>
        <w:textAlignment w:val="center"/>
        <w:rPr>
          <w:rFonts w:eastAsia="Times New Roman" w:cs="Calibri"/>
          <w:lang w:val="fr-FR"/>
        </w:rPr>
      </w:pPr>
      <w:r w:rsidRPr="004F7B5D">
        <w:rPr>
          <w:rFonts w:eastAsia="Times New Roman" w:cs="Calibri"/>
          <w:lang w:val="fr-FR"/>
        </w:rPr>
        <w:t xml:space="preserve">       </w:t>
      </w:r>
      <w:r w:rsidRPr="004F7B5D">
        <w:rPr>
          <w:rFonts w:eastAsia="Times New Roman" w:cs="Calibri"/>
          <w:i/>
          <w:iCs/>
          <w:lang w:val="fr-FR"/>
        </w:rPr>
        <w:t xml:space="preserve">Indique </w:t>
      </w:r>
      <w:r w:rsidRPr="004F7B5D">
        <w:rPr>
          <w:rFonts w:eastAsia="Times New Roman" w:cs="Calibri"/>
          <w:b/>
          <w:bCs/>
          <w:i/>
          <w:iCs/>
          <w:lang w:val="fr-FR"/>
        </w:rPr>
        <w:t>celui qui</w:t>
      </w:r>
      <w:r w:rsidRPr="004F7B5D">
        <w:rPr>
          <w:rFonts w:eastAsia="Times New Roman" w:cs="Calibri"/>
          <w:i/>
          <w:iCs/>
          <w:lang w:val="fr-FR"/>
        </w:rPr>
        <w:t xml:space="preserve"> a volé les cigarettes ! </w:t>
      </w:r>
      <w:r w:rsidRPr="004F7B5D">
        <w:rPr>
          <w:rFonts w:eastAsia="Times New Roman" w:cs="Calibri"/>
          <w:i/>
          <w:iCs/>
          <w:lang w:val="fr-FR"/>
        </w:rPr>
        <w:br/>
      </w:r>
      <w:r w:rsidRPr="004F7B5D">
        <w:rPr>
          <w:rFonts w:eastAsia="Times New Roman" w:cs="Calibri"/>
          <w:b/>
          <w:bCs/>
          <w:i/>
          <w:iCs/>
          <w:lang w:val="fr-FR"/>
        </w:rPr>
        <w:t xml:space="preserve">       </w:t>
      </w:r>
      <w:r w:rsidRPr="004F7B5D">
        <w:rPr>
          <w:rFonts w:eastAsia="Times New Roman" w:cs="Calibri"/>
          <w:b/>
          <w:bCs/>
          <w:i/>
          <w:iCs/>
          <w:lang w:val="fr-FR"/>
        </w:rPr>
        <w:t>Ceux qui</w:t>
      </w:r>
      <w:r w:rsidRPr="004F7B5D">
        <w:rPr>
          <w:rFonts w:eastAsia="Times New Roman" w:cs="Calibri"/>
          <w:i/>
          <w:iCs/>
          <w:lang w:val="fr-FR"/>
        </w:rPr>
        <w:t xml:space="preserve"> sont dans le coin font le plus de bruit.</w:t>
      </w:r>
      <w:r w:rsidRPr="004F7B5D">
        <w:rPr>
          <w:rFonts w:eastAsia="Times New Roman" w:cs="Calibri"/>
          <w:i/>
          <w:iCs/>
          <w:lang w:val="fr-FR"/>
        </w:rPr>
        <w:br/>
        <w:t> </w:t>
      </w:r>
    </w:p>
    <w:p w14:paraId="7BF8910C" w14:textId="77777777" w:rsidR="00D93B48" w:rsidRPr="004F7B5D" w:rsidRDefault="004F7B5D">
      <w:pPr>
        <w:rPr>
          <w:lang w:val="fr-FR"/>
        </w:rPr>
      </w:pPr>
    </w:p>
    <w:sectPr w:rsidR="00D93B48" w:rsidRPr="004F7B5D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56B2A"/>
    <w:multiLevelType w:val="multilevel"/>
    <w:tmpl w:val="D70E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17564"/>
    <w:multiLevelType w:val="multilevel"/>
    <w:tmpl w:val="A754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5D"/>
    <w:rsid w:val="004F7B5D"/>
    <w:rsid w:val="00537CF5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D7808"/>
  <w15:chartTrackingRefBased/>
  <w15:docId w15:val="{2B0925AD-3D50-3A4F-B006-A6879BC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B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2021-03-10T09:36:00Z</dcterms:created>
  <dcterms:modified xsi:type="dcterms:W3CDTF">2021-03-10T09:41:00Z</dcterms:modified>
</cp:coreProperties>
</file>