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4" w:rsidRDefault="006C1D84" w:rsidP="006C1D84">
      <w:pPr>
        <w:pStyle w:val="Title"/>
        <w:pBdr>
          <w:right w:val="single" w:sz="4" w:space="17" w:color="auto"/>
        </w:pBdr>
        <w:ind w:right="540"/>
        <w:rPr>
          <w:rFonts w:ascii="Palatino" w:hAnsi="Palatino"/>
        </w:rPr>
      </w:pPr>
      <w:r>
        <w:rPr>
          <w:rFonts w:ascii="Palatino" w:hAnsi="Palatino"/>
        </w:rPr>
        <w:t xml:space="preserve">Adjudication Form </w:t>
      </w:r>
    </w:p>
    <w:p w:rsidR="006C1D84" w:rsidRDefault="006C1D84" w:rsidP="006C1D84">
      <w:pPr>
        <w:rPr>
          <w:rFonts w:ascii="Palatino" w:hAnsi="Palatino"/>
          <w:sz w:val="22"/>
        </w:rPr>
      </w:pPr>
    </w:p>
    <w:p w:rsidR="006C1D84" w:rsidRDefault="006C1D84" w:rsidP="006C1D84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Speaker </w:t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Narrative</w:t>
      </w:r>
      <w:r>
        <w:rPr>
          <w:rFonts w:ascii="Palatino" w:hAnsi="Palatino"/>
          <w:sz w:val="22"/>
        </w:rPr>
        <w:tab/>
      </w:r>
    </w:p>
    <w:p w:rsidR="006C1D84" w:rsidRDefault="006C1D84" w:rsidP="006C1D84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Reporting</w:t>
      </w:r>
      <w:r>
        <w:rPr>
          <w:rFonts w:ascii="Palatino" w:hAnsi="Palatino"/>
          <w:sz w:val="22"/>
        </w:rPr>
        <w:tab/>
      </w:r>
    </w:p>
    <w:p w:rsidR="006C1D84" w:rsidRDefault="006C1D84" w:rsidP="006C1D84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Title/Topic </w:t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>Time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>Convincing (circle one)</w:t>
      </w:r>
    </w:p>
    <w:p w:rsidR="006C1D84" w:rsidRDefault="006C1D84" w:rsidP="006C1D84">
      <w:pPr>
        <w:rPr>
          <w:rFonts w:ascii="Palatino" w:hAnsi="Palatino"/>
          <w:sz w:val="22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734"/>
        <w:gridCol w:w="1710"/>
        <w:gridCol w:w="1650"/>
        <w:gridCol w:w="1493"/>
        <w:gridCol w:w="716"/>
      </w:tblGrid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  <w:tcBorders>
              <w:top w:val="nil"/>
              <w:left w:val="nil"/>
            </w:tcBorders>
          </w:tcPr>
          <w:p w:rsidR="006C1D84" w:rsidRDefault="006C1D84" w:rsidP="00BB5ECE">
            <w:pPr>
              <w:rPr>
                <w:rFonts w:ascii="Palatino" w:hAnsi="Palatino"/>
                <w:sz w:val="20"/>
              </w:rPr>
            </w:pPr>
          </w:p>
        </w:tc>
        <w:tc>
          <w:tcPr>
            <w:tcW w:w="1002" w:type="pct"/>
            <w:shd w:val="clear" w:color="auto" w:fill="E6E6E6"/>
          </w:tcPr>
          <w:p w:rsidR="006C1D84" w:rsidRDefault="006C1D84" w:rsidP="00BB5ECE">
            <w:pPr>
              <w:pStyle w:val="BodyText"/>
              <w:rPr>
                <w:rFonts w:ascii="Palatino" w:hAnsi="Palatino"/>
                <w:b w:val="0"/>
                <w:sz w:val="20"/>
              </w:rPr>
            </w:pPr>
            <w:r>
              <w:rPr>
                <w:rFonts w:ascii="Palatino" w:hAnsi="Palatino"/>
                <w:b w:val="0"/>
                <w:sz w:val="20"/>
              </w:rPr>
              <w:t>Does Not Yet Meet Expectations*</w:t>
            </w:r>
          </w:p>
          <w:p w:rsidR="006C1D84" w:rsidRDefault="006C1D84" w:rsidP="00BB5ECE">
            <w:pPr>
              <w:ind w:left="371" w:hanging="360"/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(score 1)</w:t>
            </w:r>
          </w:p>
        </w:tc>
        <w:tc>
          <w:tcPr>
            <w:tcW w:w="989" w:type="pct"/>
            <w:shd w:val="clear" w:color="auto" w:fill="E6E6E6"/>
          </w:tcPr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Minimally Meets Expectations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(score 2)</w:t>
            </w:r>
          </w:p>
        </w:tc>
        <w:tc>
          <w:tcPr>
            <w:tcW w:w="955" w:type="pct"/>
            <w:shd w:val="clear" w:color="auto" w:fill="E6E6E6"/>
          </w:tcPr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Fully Meets 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Expectations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(score 3)</w:t>
            </w:r>
          </w:p>
        </w:tc>
        <w:tc>
          <w:tcPr>
            <w:tcW w:w="868" w:type="pct"/>
            <w:shd w:val="clear" w:color="auto" w:fill="E6E6E6"/>
          </w:tcPr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Exceeds 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Expectations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(score 4)</w:t>
            </w:r>
          </w:p>
        </w:tc>
        <w:tc>
          <w:tcPr>
            <w:tcW w:w="348" w:type="pct"/>
            <w:shd w:val="clear" w:color="auto" w:fill="FFFFFF"/>
          </w:tcPr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Score</w:t>
            </w:r>
          </w:p>
          <w:p w:rsidR="006C1D84" w:rsidRDefault="006C1D84" w:rsidP="00BB5ECE">
            <w:pPr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(1-4)</w:t>
            </w: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Organization</w:t>
            </w:r>
          </w:p>
        </w:tc>
        <w:tc>
          <w:tcPr>
            <w:tcW w:w="1002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•Introduction, body, and conclusion not readily recognizable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•Apparent purpose may unintentionally differ from stated purpose, or there may be no statement of purpose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•Speech is too short for format or subject matter</w:t>
            </w:r>
          </w:p>
        </w:tc>
        <w:tc>
          <w:tcPr>
            <w:tcW w:w="989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•Introduction, body, &amp; conclusion are identifiable, but generally not engaging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 xml:space="preserve">•Speech begins with statement of purpose, stated in predictable manner 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•Speech may wander from stated purpose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•Speech length is appropriate or excessive</w:t>
            </w:r>
          </w:p>
        </w:tc>
        <w:tc>
          <w:tcPr>
            <w:tcW w:w="955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•Introduction, body, &amp; conclusion are identifiable and generally, but not consistently, engaging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•Clear statement of purpose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•Appropriate speech length</w:t>
            </w:r>
          </w:p>
        </w:tc>
        <w:tc>
          <w:tcPr>
            <w:tcW w:w="868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•An engaging introduction that leads naturally to a fully-explored topic, building to a clear conclusion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•Purpose presented in sophisticated manner – may be implicit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•Appropriate speech length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Content</w:t>
            </w:r>
          </w:p>
        </w:tc>
        <w:tc>
          <w:tcPr>
            <w:tcW w:w="1002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•Absence of detail, or larger context, or both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•Limited or no support</w:t>
            </w:r>
          </w:p>
        </w:tc>
        <w:tc>
          <w:tcPr>
            <w:tcW w:w="989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 xml:space="preserve">• Either detail or larger context is insufficient 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•Obvious oversights in support</w:t>
            </w:r>
          </w:p>
        </w:tc>
        <w:tc>
          <w:tcPr>
            <w:tcW w:w="955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Sufficient detail and larger context both evident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•Sufficient support</w:t>
            </w:r>
          </w:p>
        </w:tc>
        <w:tc>
          <w:tcPr>
            <w:tcW w:w="868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Effective blend of detail and larger context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Ample support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Appropriateness</w:t>
            </w:r>
          </w:p>
        </w:tc>
        <w:tc>
          <w:tcPr>
            <w:tcW w:w="1002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Speech offended some audience members, adjudicator, or both**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There may be a  mismatch between tone of speech and tone of delivery</w:t>
            </w:r>
          </w:p>
        </w:tc>
        <w:tc>
          <w:tcPr>
            <w:tcW w:w="989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Speaker seemed to deliberately “walk the line” of appropriate content</w:t>
            </w:r>
          </w:p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Several slips in appropriateness of delivery</w:t>
            </w:r>
          </w:p>
        </w:tc>
        <w:tc>
          <w:tcPr>
            <w:tcW w:w="955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No foreseeable chance of offending audience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A few slips in appropriateness of delivery</w:t>
            </w:r>
          </w:p>
        </w:tc>
        <w:tc>
          <w:tcPr>
            <w:tcW w:w="868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No foreseeable chance of offending audience</w:t>
            </w:r>
          </w:p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Delivery consistently appropriate to tone of speech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Voice and Language</w:t>
            </w:r>
          </w:p>
        </w:tc>
        <w:tc>
          <w:tcPr>
            <w:tcW w:w="1002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Use of voice encourages audience disengagement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Limited vocabulary, numerous pronunciation errors, little variety in sentence structures</w:t>
            </w:r>
          </w:p>
        </w:tc>
        <w:tc>
          <w:tcPr>
            <w:tcW w:w="989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Inconsistent use of voice may detract from effectiveness of the content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Adequate vocabulary, one or two pronunciation errors, limited variety in sentence structures</w:t>
            </w:r>
          </w:p>
        </w:tc>
        <w:tc>
          <w:tcPr>
            <w:tcW w:w="955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Use of voice complements effectiveness of the content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Sufficient vocabulary, no pronunciation errors, some variety in sentence structures</w:t>
            </w:r>
          </w:p>
        </w:tc>
        <w:tc>
          <w:tcPr>
            <w:tcW w:w="868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Use of voice increases effectiveness of the content</w:t>
            </w:r>
          </w:p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Effective vocabulary, no pronunciation errors, variety of sentence structures used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  <w:tcBorders>
              <w:bottom w:val="single" w:sz="4" w:space="0" w:color="auto"/>
            </w:tcBorders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Eye Contact/</w:t>
            </w:r>
          </w:p>
          <w:p w:rsidR="006C1D84" w:rsidRDefault="006C1D84" w:rsidP="00BB5ECE">
            <w:pPr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Body Language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Almost non-existent eye contact with audience, body language and mannerisms detract from content and distract audience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Time spent making eye contact with audience and looking down about equal, limited use of body language, one or two distracting mannerisms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More time spent making eye contact with audience than looking down, some use of body language, no distracting mannerisms</w:t>
            </w:r>
          </w:p>
        </w:tc>
        <w:tc>
          <w:tcPr>
            <w:tcW w:w="868" w:type="pct"/>
          </w:tcPr>
          <w:p w:rsidR="006C1D84" w:rsidRDefault="006C1D84" w:rsidP="00BB5ECE">
            <w:pPr>
              <w:ind w:left="-72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t>• Almost continuous eye contact with audience, effective use of body language, no distracting mannerisms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838" w:type="pct"/>
            <w:tcBorders>
              <w:left w:val="nil"/>
              <w:bottom w:val="nil"/>
              <w:right w:val="nil"/>
            </w:tcBorders>
          </w:tcPr>
          <w:p w:rsidR="006C1D84" w:rsidRDefault="006C1D84" w:rsidP="00BB5ECE">
            <w:pPr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02" w:type="pct"/>
            <w:tcBorders>
              <w:left w:val="nil"/>
              <w:bottom w:val="nil"/>
              <w:right w:val="nil"/>
            </w:tcBorders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  <w:tc>
          <w:tcPr>
            <w:tcW w:w="989" w:type="pct"/>
            <w:tcBorders>
              <w:left w:val="nil"/>
              <w:bottom w:val="nil"/>
              <w:right w:val="nil"/>
            </w:tcBorders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  <w:tc>
          <w:tcPr>
            <w:tcW w:w="955" w:type="pct"/>
            <w:tcBorders>
              <w:left w:val="nil"/>
              <w:bottom w:val="nil"/>
            </w:tcBorders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  <w:tc>
          <w:tcPr>
            <w:tcW w:w="868" w:type="pct"/>
          </w:tcPr>
          <w:p w:rsidR="006C1D84" w:rsidRDefault="006C1D84" w:rsidP="00BB5ECE">
            <w:pPr>
              <w:pStyle w:val="Heading2"/>
              <w:jc w:val="lef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TOTAL</w:t>
            </w:r>
          </w:p>
        </w:tc>
        <w:tc>
          <w:tcPr>
            <w:tcW w:w="348" w:type="pct"/>
          </w:tcPr>
          <w:p w:rsidR="006C1D84" w:rsidRDefault="006C1D84" w:rsidP="00BB5ECE">
            <w:pPr>
              <w:rPr>
                <w:rFonts w:ascii="Palatino" w:hAnsi="Palatino"/>
                <w:sz w:val="18"/>
              </w:rPr>
            </w:pPr>
          </w:p>
        </w:tc>
      </w:tr>
    </w:tbl>
    <w:p w:rsid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Speakers receive a score from 1 to 4 in each of the five criteria, for a total score out of 20.  </w:t>
      </w:r>
    </w:p>
    <w:p w:rsid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Adjudicators are encouraged to avoid using half marks.</w:t>
      </w:r>
    </w:p>
    <w:tbl>
      <w:tblPr>
        <w:tblpPr w:leftFromText="180" w:rightFromText="180" w:vertAnchor="text" w:horzAnchor="page" w:tblpX="673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377"/>
      </w:tblGrid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jc w:val="center"/>
              <w:rPr>
                <w:rFonts w:ascii="Palatino" w:hAnsi="Palatino"/>
                <w:sz w:val="20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6C1D84" w:rsidRDefault="006C1D84" w:rsidP="00BB5ECE">
            <w:pPr>
              <w:pStyle w:val="Heading3"/>
              <w:framePr w:hSpace="0" w:wrap="auto" w:vAnchor="margin" w:hAnchor="text" w:xAlign="left" w:yAlign="inline"/>
              <w:jc w:val="lef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            Standards</w:t>
            </w: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Gold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19 or 20 (five 4s or four 4s and a 3)</w:t>
            </w: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Silver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17 or 18 (at least two 4s)</w:t>
            </w:r>
          </w:p>
        </w:tc>
      </w:tr>
      <w:tr w:rsidR="006C1D84" w:rsidTr="00BB5EC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right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Bronze</w:t>
            </w:r>
          </w:p>
        </w:tc>
        <w:tc>
          <w:tcPr>
            <w:tcW w:w="3377" w:type="dxa"/>
            <w:tcBorders>
              <w:top w:val="nil"/>
              <w:left w:val="nil"/>
            </w:tcBorders>
          </w:tcPr>
          <w:p w:rsidR="006C1D84" w:rsidRDefault="006C1D84" w:rsidP="00BB5ECE">
            <w:pPr>
              <w:tabs>
                <w:tab w:val="left" w:pos="1440"/>
                <w:tab w:val="left" w:pos="2160"/>
                <w:tab w:val="left" w:pos="234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15 or 16 (more 3s and 4s than 2s)</w:t>
            </w:r>
          </w:p>
        </w:tc>
      </w:tr>
    </w:tbl>
    <w:p w:rsidR="006C1D84" w:rsidRDefault="006C1D84" w:rsidP="006C1D84">
      <w:pPr>
        <w:rPr>
          <w:rFonts w:ascii="Palatino" w:hAnsi="Palatino"/>
          <w:sz w:val="20"/>
        </w:rPr>
      </w:pPr>
    </w:p>
    <w:p w:rsid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*Speakers scoring a scale point 1 in any category </w:t>
      </w:r>
    </w:p>
    <w:p w:rsid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will not qualify for a medal, regardless of total score.</w:t>
      </w:r>
    </w:p>
    <w:p w:rsidR="006C1D84" w:rsidRDefault="006C1D84" w:rsidP="006C1D84">
      <w:pPr>
        <w:rPr>
          <w:rFonts w:ascii="Palatino" w:hAnsi="Palatino"/>
          <w:sz w:val="20"/>
        </w:rPr>
      </w:pPr>
    </w:p>
    <w:p w:rsid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**Adjudicators must understand the difference between </w:t>
      </w:r>
    </w:p>
    <w:p w:rsidR="006C1D84" w:rsidRPr="006C1D84" w:rsidRDefault="006C1D84" w:rsidP="006C1D8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 speaker who challenges or upsets the audience to achieve a rhetorical purpose, and a speaker who offends the audience.  The former is a hallmark of many excellent speakers; the latter is not.</w:t>
      </w:r>
    </w:p>
    <w:p w:rsidR="006C1D84" w:rsidRDefault="006C1D84" w:rsidP="006C1D84">
      <w:pPr>
        <w:ind w:left="360"/>
        <w:rPr>
          <w:rFonts w:ascii="Palatino" w:hAnsi="Palatino"/>
        </w:rPr>
      </w:pPr>
    </w:p>
    <w:p w:rsidR="00B75232" w:rsidRDefault="00B75232">
      <w:bookmarkStart w:id="0" w:name="_GoBack"/>
      <w:bookmarkEnd w:id="0"/>
    </w:p>
    <w:sectPr w:rsidR="00B75232" w:rsidSect="006C1D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4"/>
    <w:rsid w:val="006C1D84"/>
    <w:rsid w:val="00B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EBF9"/>
  <w15:chartTrackingRefBased/>
  <w15:docId w15:val="{8E6D6D5B-C6C6-453D-BC2F-9D726BEA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1D84"/>
    <w:pPr>
      <w:keepNext/>
      <w:jc w:val="right"/>
      <w:outlineLvl w:val="1"/>
    </w:pPr>
    <w:rPr>
      <w:rFonts w:ascii="Garamond" w:hAnsi="Garamond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6C1D84"/>
    <w:pPr>
      <w:keepNext/>
      <w:framePr w:hSpace="180" w:wrap="around" w:vAnchor="text" w:hAnchor="page" w:x="6337" w:y="-30"/>
      <w:tabs>
        <w:tab w:val="left" w:pos="1440"/>
        <w:tab w:val="left" w:pos="2160"/>
        <w:tab w:val="left" w:pos="2340"/>
      </w:tabs>
      <w:jc w:val="center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D84"/>
    <w:rPr>
      <w:rFonts w:ascii="Garamond" w:eastAsia="Times New Roman" w:hAnsi="Garamond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6C1D84"/>
    <w:rPr>
      <w:rFonts w:ascii="Garamond" w:eastAsia="Times New Roman" w:hAnsi="Garamond" w:cs="Times New Roman"/>
      <w:b/>
      <w:szCs w:val="20"/>
    </w:rPr>
  </w:style>
  <w:style w:type="paragraph" w:styleId="Title">
    <w:name w:val="Title"/>
    <w:basedOn w:val="Normal"/>
    <w:link w:val="TitleChar"/>
    <w:qFormat/>
    <w:rsid w:val="006C1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Garamond" w:hAnsi="Garamond"/>
      <w:b/>
      <w:sz w:val="36"/>
    </w:rPr>
  </w:style>
  <w:style w:type="character" w:customStyle="1" w:styleId="TitleChar">
    <w:name w:val="Title Char"/>
    <w:basedOn w:val="DefaultParagraphFont"/>
    <w:link w:val="Title"/>
    <w:rsid w:val="006C1D84"/>
    <w:rPr>
      <w:rFonts w:ascii="Garamond" w:eastAsia="Times New Roman" w:hAnsi="Garamond" w:cs="Times New Roman"/>
      <w:b/>
      <w:sz w:val="36"/>
      <w:szCs w:val="20"/>
      <w:shd w:val="clear" w:color="auto" w:fill="E6E6E6"/>
    </w:rPr>
  </w:style>
  <w:style w:type="paragraph" w:styleId="BodyText">
    <w:name w:val="Body Text"/>
    <w:basedOn w:val="Normal"/>
    <w:link w:val="BodyTextChar"/>
    <w:rsid w:val="006C1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Garamond" w:hAnsi="Garamond"/>
      <w:b/>
      <w:sz w:val="36"/>
    </w:rPr>
  </w:style>
  <w:style w:type="character" w:customStyle="1" w:styleId="BodyTextChar">
    <w:name w:val="Body Text Char"/>
    <w:basedOn w:val="DefaultParagraphFont"/>
    <w:link w:val="BodyText"/>
    <w:rsid w:val="006C1D84"/>
    <w:rPr>
      <w:rFonts w:ascii="Garamond" w:eastAsia="Times New Roman" w:hAnsi="Garamond" w:cs="Times New Roman"/>
      <w:b/>
      <w:sz w:val="36"/>
      <w:szCs w:val="2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cp:lastPrinted>2016-11-30T17:26:00Z</cp:lastPrinted>
  <dcterms:created xsi:type="dcterms:W3CDTF">2016-11-30T17:23:00Z</dcterms:created>
  <dcterms:modified xsi:type="dcterms:W3CDTF">2016-11-30T17:27:00Z</dcterms:modified>
</cp:coreProperties>
</file>