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MARLIN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2151808</wp:posOffset>
            </wp:positionH>
            <wp:positionV relativeFrom="line">
              <wp:posOffset>83306</wp:posOffset>
            </wp:positionV>
            <wp:extent cx="4732110" cy="30555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li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110" cy="30555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Subtitle"/>
        <w:rPr>
          <w:caps w:val="0"/>
          <w:smallCaps w:val="0"/>
        </w:rPr>
      </w:pPr>
      <w:r>
        <w:rPr>
          <w:caps w:val="0"/>
          <w:smallCaps w:val="0"/>
          <w:rtl w:val="0"/>
          <w:lang w:val="en-US"/>
        </w:rPr>
        <w:t>which one should one consume?</w:t>
      </w:r>
    </w:p>
    <w:p>
      <w:pPr>
        <w:pStyle w:val="Body"/>
        <w:bidi w:val="0"/>
      </w:pPr>
    </w:p>
    <w:p>
      <w:pPr>
        <w:pStyle w:val="Heading 3"/>
        <w:bidi w:val="0"/>
      </w:pPr>
      <w:r>
        <w:rPr>
          <w:caps w:val="1"/>
          <w:rtl w:val="0"/>
          <w:lang w:val="en-US"/>
        </w:rPr>
        <w:t>Approved Marlin species for consumption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</w:rPr>
        <w:t xml:space="preserve">Blue Marlin (Makaira nigricans):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Wild, Longline.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Location: Hawaii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Overall Rating: 2.9-3/5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3"/>
        <w:rPr>
          <w:caps w:val="1"/>
        </w:rPr>
      </w:pPr>
      <w:r>
        <w:rPr>
          <w:caps w:val="1"/>
          <w:rtl w:val="0"/>
          <w:lang w:val="en-US"/>
        </w:rPr>
        <w:t xml:space="preserve">Not recommended for consumption: </w:t>
      </w:r>
    </w:p>
    <w:p>
      <w:pPr>
        <w:pStyle w:val="Body"/>
        <w:bidi w:val="0"/>
      </w:pPr>
      <w:r>
        <w:rPr>
          <w:rtl w:val="0"/>
        </w:rPr>
        <w:t>Black Marlin (Istiompax indica):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Wild, Pelagic longline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Location: North Pacific, South Pacific, Western Central Pacific.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Overall Rating: 0.0-1.8/5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Striped Marlin (Tetrapturus audax)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Wild, Pelagic Longline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Location: North Pacific, South Pacific, Western Central Pacific.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Overall Rating: 0.0-1.9/5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Blue Marlin (Makaira nigricans)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Wild, Pelagic Longline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Location: North Pacific, South Pacific, Western Central Pacific.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Overall Rating: 0.0-2.0/5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-Ocean Wise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